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https://www.cnmc.es/expedientes/c152425</w:t>
      </w:r>
    </w:p>
    <w:p>
      <w:r>
        <w:t>Pages translated : 1</w:t>
      </w:r>
    </w:p>
    <w:p/>
    <w:p>
      <w:r>
        <w:rPr>
          <w:b/>
        </w:rPr>
        <w:t>[Pages 1–1]</w:t>
      </w:r>
    </w:p>
    <w:p>
      <w:r>
        <w:t xml:space="preserve">C/1524/25  </w:t>
        <w:br/>
        <w:t xml:space="preserve">ENDESA GENERACIÓN / CORPORACIÓN  </w:t>
        <w:br/>
        <w:t xml:space="preserve">ACCIONA HIDRÁULICA  </w:t>
        <w:br/>
        <w:t xml:space="preserve">RESOLUTION  </w:t>
        <w:br/>
        <w:t xml:space="preserve">FILE ENDESA GENERACIÓN / CORPORACIÓN  </w:t>
        <w:br/>
        <w:t xml:space="preserve">ACCIONA HIDRÁULICA  </w:t>
        <w:br/>
        <w:t xml:space="preserve">(C/1524/25)  </w:t>
        <w:br/>
        <w:t>COUNCIL. COMPETITION CHAMBER</w:t>
      </w:r>
    </w:p>
    <w:p>
      <w:r>
        <w:t xml:space="preserve">President  </w:t>
        <w:br/>
        <w:t>Ms. Cani Fernández Vicién</w:t>
      </w:r>
    </w:p>
    <w:p>
      <w:r>
        <w:t xml:space="preserve">Counselors  </w:t>
        <w:br/>
        <w:t xml:space="preserve">Mr. Bernardo Lorenzo Almendros  </w:t>
        <w:br/>
        <w:t xml:space="preserve">Mr. Xabier Ormaetxea Garai  </w:t>
        <w:br/>
        <w:t>Ms. Pilar Sánchez Núñez</w:t>
      </w:r>
    </w:p>
    <w:p>
      <w:r>
        <w:t xml:space="preserve">Secretary of the Council  </w:t>
        <w:br/>
        <w:t>Mr. Miguel Bordiu Garcia-Ovies</w:t>
      </w:r>
    </w:p>
    <w:p>
      <w:r>
        <w:t>In Madrid, January 24, 2025</w:t>
      </w:r>
    </w:p>
    <w:p>
      <w:r>
        <w:t>The Competition Chamber has analyzed the concentration file processed in accordance with Law 15/2007, of July 3, on the Defense of Competition, regarding the economic concentration operation consisting of the acquisition of exclusive control by ENDESA GENERACIÓN, S.A.U., of CORPORACIÓN ACCIONA HIDRÁULICA, S.L.U. In accordance with the report and the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