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https://www.cnmc.es/expedientes/c152625</w:t>
      </w:r>
    </w:p>
    <w:p>
      <w:r>
        <w:t>Pages translated : 2</w:t>
      </w:r>
    </w:p>
    <w:p/>
    <w:p>
      <w:r>
        <w:rPr>
          <w:b/>
        </w:rPr>
        <w:t>[Pages 1–2]</w:t>
      </w:r>
    </w:p>
    <w:p>
      <w:r>
        <w:t>C/1526/25 MUBADALA CAPITAL / BABEL RESOLUTION FILE MUBADALA CAPITAL / BABEL (C/1526/25) COUNCIL. COMPETITION CHAMBER President Ms. Cani Fernández Vicién Councilors Ms. Pilar Sánchez Núñez Mr. Rafael Iturriaga Nieva Mr. Pere Soler Campins Ms. María Vidales Picazo Secretary of the Council Mr. Miguel Bordiu Garcia-Ovies In Madrid, February 7, 2025 The Competition Chamber has analyzed the concentration file processed in accordance with Law 15/2007, of July 3, on the Defense of Competition, regarding the economic concentration operation consisting of the acquisition by Global Martilu, S.L.U. (now MC Skywalker Bidco, S.L.U), a company indirectly 100% owned by MIC Capital Management UK LLP (MUBADALA CAPITAL) of exclusive control over Babel Tenedora de Participaciones, S.A. and its subsidiaries (BABEL). In accordance with the report and proposal submitted by the Competition Directorate, the Competition Chamber has resolved, applying Article 57.2.a) of the aforementioned Law 15/2007, of July 3, to authorize the said concentration operation. Likewise, in accordance with the principle of self-assessment, as set out in recital 21 of Council Regulation 139/2004,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