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https://www.cnmc.es/expedientes/c152725</w:t>
      </w:r>
    </w:p>
    <w:p>
      <w:r>
        <w:t>Pages translated : 2</w:t>
      </w:r>
    </w:p>
    <w:p/>
    <w:p>
      <w:r>
        <w:rPr>
          <w:b/>
        </w:rPr>
        <w:t>[Pages 1–2]</w:t>
      </w:r>
    </w:p>
    <w:p>
      <w:r>
        <w:t xml:space="preserve">C/1527/25  </w:t>
        <w:br/>
        <w:t xml:space="preserve">ESTEVE / MIFAMURTIDE TAKEDA BUSINESS  </w:t>
        <w:br/>
        <w:t xml:space="preserve">RESOLUTION  </w:t>
        <w:br/>
        <w:t xml:space="preserve">FILE ESTEVE / MIFAMURTIDE TAKEDA BUSINESS  </w:t>
        <w:br/>
        <w:t xml:space="preserve">(C/1527/25)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February 7, 2025  </w:t>
        <w:br/>
        <w:t xml:space="preserve">The Competition Chamber has analyzed the merger file processed in accordance with Law 15/2007, of July 3, on the Defense of Competition, regarding the economic concentration operation consisting of the acquisition of exclusive control by ESTEVE PHARMACEUTICALS, S.A., over the MIFAMURTIDE TAKEDA BUSINESS. In accordance with the report and the proposal submitted by the Competition Directorate, the Competition Chamber has resolved, applying Article 57.2.a) of the aforementioned Law 15/2007, of July 3, to authorize the said concentration operation.  </w:t>
        <w:br/>
        <w:t xml:space="preserve">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Competition Directorate.  </w:t>
        <w:br/>
        <w:t xml:space="preserve">National Commission of Markets and Competition 1 of 2  </w:t>
        <w:br/>
        <w:t xml:space="preserve">C/ Alcalá, 47 – 28014 Madrid - C/ Bolivia, 56 – 08018 Barcelona  </w:t>
        <w:br/>
        <w:t>www.cnmc.es</w:t>
      </w:r>
    </w:p>
    <w:p>
      <w:r>
        <w:t xml:space="preserve">C/1527/25  </w:t>
        <w:br/>
        <w:t xml:space="preserve">ESTEVE / MIFAMURTIDE TAKEDA  </w:t>
        <w:b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