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https://www.cnmc.es/expedientes/c153025</w:t>
      </w:r>
    </w:p>
    <w:p>
      <w:r>
        <w:t>Pages translated : 2</w:t>
      </w:r>
    </w:p>
    <w:p/>
    <w:p>
      <w:r>
        <w:rPr>
          <w:b/>
        </w:rPr>
        <w:t>[Pages 1–2]</w:t>
      </w:r>
    </w:p>
    <w:p>
      <w:r>
        <w:t xml:space="preserve">C/1530/25  </w:t>
        <w:br/>
        <w:t xml:space="preserve">GEO TRAVEL / DIT GESTIÓN  </w:t>
        <w:br/>
        <w:t xml:space="preserve">RESOLUTION  </w:t>
        <w:br/>
        <w:t xml:space="preserve">FILE GEO TRAVEL / DIT GESTIÓN  </w:t>
        <w:br/>
        <w:t xml:space="preserve">(C/1530/25)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February 7, 2025</w:t>
      </w:r>
    </w:p>
    <w:p>
      <w:r>
        <w:t>The Competition Chamber has analyzed the concentration file processed in accordance with Law 15/2007, of July 3, on the Defense of Competition, regarding the economic concentration operation consisting of the acquisition by Geo Travel Partner SLU (Geo Travel), of exclusive control over the companies Haikulance, S.L., Donosti Receptivo, S.L., Departamento Infraestructuras Turísticas, S.L., Dinamización Integral Turística, S.L., Haiku Vuela, S.L. and Unida Servicios Integrales de Turismo, S.A. (for all of them, DIT Gestión). In accordance with the report and proposal submitted by the Directorate of Competition, the Competition Chamber has resolved, applying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Directorate of Competition.</w:t>
      </w:r>
    </w:p>
    <w:p>
      <w:r>
        <w:t xml:space="preserve">National Commission of Markets and Competition 1 of 2  </w:t>
        <w:br/>
        <w:t xml:space="preserve">C/ Alcalá, 47 – 28014 Madrid - C/ Bolivia, 56 – 08018 Barcelona  </w:t>
        <w:br/>
        <w:t>www.cnmc.es</w:t>
      </w:r>
    </w:p>
    <w:p>
      <w:r>
        <w:t xml:space="preserve">C/1530/25  </w:t>
        <w:br/>
        <w:t xml:space="preserve">GEO TRAVEL / DIT GESTIÓN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