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https://www.cnmc.es/expedientes/c153125</w:t>
      </w:r>
    </w:p>
    <w:p>
      <w:r>
        <w:t>Pages translated : 2</w:t>
      </w:r>
    </w:p>
    <w:p/>
    <w:p>
      <w:r>
        <w:rPr>
          <w:b/>
        </w:rPr>
        <w:t>[Pages 1–2]</w:t>
      </w:r>
    </w:p>
    <w:p>
      <w:r>
        <w:t xml:space="preserve">C/1531/25  </w:t>
        <w:br/>
        <w:t xml:space="preserve">GLOBAL ICECREAM INVESTMENTS / GRUPO ALACANT  </w:t>
        <w:br/>
        <w:t xml:space="preserve">RESOLUTION  </w:t>
        <w:br/>
        <w:t xml:space="preserve">FILE GLOBAL ICECREAM INVESTMENTS / GRUPO ALACANT  </w:t>
        <w:br/>
        <w:t xml:space="preserve">(C/1531/25)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February 7, 2025</w:t>
      </w:r>
    </w:p>
    <w:p>
      <w:r>
        <w:t>The Competition Chamber has analyzed the merger file processed in accordance with Law 15/2007, of July 3, on the Defense of Competition, concerning the economic concentration operation consisting of the acquisition of exclusive control by GLOBAL ICECREAM INVESTMENTS S.À.R.L. of ASOCIACIÓN DE INDUSTRIAS ALICANTINAS DEL HELADO Y DERIVADOS, S.A. According to the report and the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companies involved to determine to what extent their agreements are ancillary to a concentration operation.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C/1531/25  </w:t>
        <w:br/>
        <w:t xml:space="preserve">GLOBAL ICECREAM INVESTMENTS / GRUPO ALACANT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