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https://www.cnmc.es/expedientes/c153225</w:t>
      </w:r>
    </w:p>
    <w:p>
      <w:r>
        <w:t>Pages translated : 2</w:t>
      </w:r>
    </w:p>
    <w:p/>
    <w:p>
      <w:r>
        <w:rPr>
          <w:b/>
        </w:rPr>
        <w:t>[Pages 1–2]</w:t>
      </w:r>
    </w:p>
    <w:p>
      <w:r>
        <w:t>C/1532/25 JBCM / PALACIOS RESOLUTION FILE JBCM / PALACIOS (C/1532/25) COUNCIL. COMPETITION CHAMBER President Ms. Cani Fernández Vicién Councilors Ms. Pilar Sánchez Núñez Mr. Rafael Iturriaga Nieva Mr. Pere Soler Campins Ms. María Vidales Picazo Secretary of the Council Mr. Miguel Bordiu Garcia-Ovies In Madrid, on February 12, 2025 The Competition Chamber has analyzed the merger file processed in accordance with Law 15/2007, of July 3, on the Defense of Competition, regarding the economic concentration operation consisting of the acquisition of exclusive control by JB Capital Management Europe GP II, S.à.r.l. over Palacios Foods Investments, S.L. and all companies directly or indirectly controlled by Palacios. According to the report and the proposal submitted by the Directorate of Competition, the Competition Chamber has resolved, in application of Article 57.2.a) of the aforementioned Law 15/2007, of July 3, to authorize the aforementioned concentration operation. Likewise, in accordance with the principle of self-assessment, as set forth in recital 21 of Regulation 139/2004 of the Council, of January 20, 2004, on the control of concentrations between companies and what is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Directorate of Competition.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