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https://www.cnmc.es/expedientes/c153325</w:t>
      </w:r>
    </w:p>
    <w:p>
      <w:r>
        <w:t>Pages translated : 1</w:t>
      </w:r>
    </w:p>
    <w:p/>
    <w:p>
      <w:r>
        <w:rPr>
          <w:b/>
        </w:rPr>
        <w:t>[Pages 1–1]</w:t>
      </w:r>
    </w:p>
    <w:p>
      <w:r>
        <w:t xml:space="preserve">C/1533/25  </w:t>
        <w:br/>
        <w:t xml:space="preserve">EUROFINS / SYNLAB SPAIN  </w:t>
        <w:br/>
        <w:t xml:space="preserve">RESOLUTION  </w:t>
        <w:br/>
        <w:t xml:space="preserve">FILE EUROFINS / SYNLAB SPAIN  </w:t>
        <w:br/>
        <w:t xml:space="preserve">(C/1533/25)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February 18, 2025</w:t>
      </w:r>
    </w:p>
    <w:p>
      <w:r>
        <w:t>The Competition Chamber has analyzed the concentration file processed in accordance with Law 15/2007, of July 3, on the Defense of Competition, regarding the economic concentration operation consisting of the acquisition by Eurofins Clinical Testing Services Spain Holding, S.L.U. (EUROFINS) of exclusive control over the companies Synlab Diagnósticos Globales S.A.U., and Brugués Asistencial S.A. (SYNLAB SPAIN).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