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https://www.cnmc.es/expedientes/c153525</w:t>
      </w:r>
    </w:p>
    <w:p>
      <w:r>
        <w:t>Pages translated : 2</w:t>
      </w:r>
    </w:p>
    <w:p/>
    <w:p>
      <w:r>
        <w:rPr>
          <w:b/>
        </w:rPr>
        <w:t>[Pages 1–2]</w:t>
      </w:r>
    </w:p>
    <w:p>
      <w:r>
        <w:t xml:space="preserve">C/1535/25  </w:t>
        <w:br/>
        <w:t xml:space="preserve">GUIDEBRIDGE / GAME IBERIA  </w:t>
        <w:br/>
        <w:t xml:space="preserve">RESOLUTION  </w:t>
        <w:br/>
        <w:t xml:space="preserve">FILE GUIDEBRIDGE / GAME IBERIA  </w:t>
        <w:br/>
        <w:t xml:space="preserve">(C/1535/25)  </w:t>
        <w:br/>
        <w:t>COUNCIL. COMPETITION CHAMBER</w:t>
      </w:r>
    </w:p>
    <w:p>
      <w:r>
        <w:t xml:space="preserve">President  </w:t>
        <w:br/>
        <w:t>Ms. Cani Fernández Vicién</w:t>
      </w:r>
    </w:p>
    <w:p>
      <w:r>
        <w:t xml:space="preserve">Councilors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Barcelona, March 4, 2025</w:t>
      </w:r>
    </w:p>
    <w:p>
      <w:r>
        <w:t>The Competition Chamber has analyzed the concentration file processed in accordance with Law 15/2007, of July 3, on the Defense of Competition, related to the economic concentration operation consisting of the indirect acquisition by GuideBridge SGEIC, S.A. (“GUIDEBRIDGE”), through the company [CONFIDENTIAL], of the exclusive control of Game Stores Iberia, S.L.U. (“GAME IBERIA”). According to the report and the proposal submitted by the Directorate of Competition, the Competition Chamber has resolved, in application of Article 57.2.a) of the aforementioned Law 15/2007, of July 3, to authorize the said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implementation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