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https://www.cnmc.es/expedientes/c153825</w:t>
      </w:r>
    </w:p>
    <w:p>
      <w:r>
        <w:t>Pages translated : 2</w:t>
      </w:r>
    </w:p>
    <w:p/>
    <w:p>
      <w:r>
        <w:rPr>
          <w:b/>
        </w:rPr>
        <w:t>[Pages 1–2]</w:t>
      </w:r>
    </w:p>
    <w:p>
      <w:r>
        <w:t xml:space="preserve">C/1538/25  </w:t>
        <w:br/>
        <w:t xml:space="preserve">ABAC SV II / GRUPO RECALVI  </w:t>
        <w:br/>
        <w:t xml:space="preserve">RESOLUTION  </w:t>
        <w:br/>
        <w:t xml:space="preserve">FILE ABAC SV II / GRUPO RECALVI  </w:t>
        <w:br/>
        <w:t xml:space="preserve">(C/1538/25)  </w:t>
        <w:br/>
        <w:t>COUNCIL. COMPETITION CHAMBER</w:t>
      </w:r>
    </w:p>
    <w:p>
      <w:r>
        <w:t xml:space="preserve">President  </w:t>
        <w:br/>
        <w:t>Ms. Cani Fernández Vicién</w:t>
      </w:r>
    </w:p>
    <w:p>
      <w:r>
        <w:t xml:space="preserve">Counselors  </w:t>
        <w:br/>
        <w:t xml:space="preserve">Ms. Pilar Sánchez Núñez  </w:t>
        <w:br/>
        <w:t xml:space="preserve">Mr. Rafael Iturriaga Nieva  </w:t>
        <w:br/>
        <w:t xml:space="preserve">Mr. Pere Soler Campins  </w:t>
        <w:br/>
        <w:t>Ms. María Vidales Picazo</w:t>
      </w:r>
    </w:p>
    <w:p>
      <w:r>
        <w:t xml:space="preserve">Secretary of the Council  </w:t>
        <w:br/>
        <w:t>Mr. Miguel Bordiu Garcia-Ovies</w:t>
      </w:r>
    </w:p>
    <w:p>
      <w:r>
        <w:t>In Madrid, on March 12, 2025</w:t>
      </w:r>
    </w:p>
    <w:p>
      <w:r>
        <w:t>The Competition Chamber has analyzed the concentration file processed in accordance with Law 15/2007, of July 3, on the Defense of Competition, regarding the economic concentration operation consisting of the indirect acquisition by Abac SV II of exclusive control of the automotive spare parts distribution business of Grupo Recalvi. In particular, Abac SV II will acquire, indirectly, through Abac SV Fund II FCR (Abac FCR) and Abac S Value II SCR, S.A. (Abac SCR), 70% of the share capital of Grupo Recalvi. According to the report and proposal submitted by the Competition Directorate, the Competition Chamber has resolved, in application of Article 57.2.a) of the aforementioned Law 15/2007, of July 3, to authorize the aforementioned concentration operation.</w:t>
      </w:r>
    </w:p>
    <w:p>
      <w:r>
        <w:t>Likewise, in accordance with the principle of self-assessment, as set forth in recital 21 of Regulation 139/2004 of the Council, of January 20, 2004, on the control of concentrations between companies and as established in the Commission Communication on restrictions directly linked to the execution of a concentration and necessary for that purpose (2005/C 56/03), it is up to the affected companies to determine to what extent their agreements are ancillary to a concentration operation. All of this in accordance with what is indicated in the aforementioned report proposal from the Competition Directorate.</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 xml:space="preserve">National Commission on Markets and Competition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