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https://www.cnmc.es/expedientes/c153925</w:t>
      </w:r>
    </w:p>
    <w:p>
      <w:r>
        <w:t>Pages translated : 2</w:t>
      </w:r>
    </w:p>
    <w:p/>
    <w:p>
      <w:r>
        <w:rPr>
          <w:b/>
        </w:rPr>
        <w:t>[Pages 1–2]</w:t>
      </w:r>
    </w:p>
    <w:p>
      <w:r>
        <w:t xml:space="preserve">C/1539/25  </w:t>
        <w:br/>
        <w:t xml:space="preserve">PAI FUND / ALVEST  </w:t>
        <w:br/>
        <w:t xml:space="preserve">RESOLUTION  </w:t>
        <w:br/>
        <w:t xml:space="preserve">FILE PAI FUND / ALVEST  </w:t>
        <w:br/>
        <w:t xml:space="preserve">(C/1539/25)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March 12, 2025</w:t>
      </w:r>
    </w:p>
    <w:p>
      <w:r>
        <w:t>The Competition Chamber has analyzed the concentration file processed in accordance with Law 15/2007, of July 3, on the Defense of Competition, regarding the economic concentration operation consisting of the indirect acquisition by PAI FUND VIII of exclusive control and a majority stake in ALVEST HOLDING S.A.S. 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stated in recital 21 of Council Regulation 139/2004, of January 20, 2004, on the control of concentrations between enterprises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