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https://www.cnmc.es/expedientes/c154125</w:t>
      </w:r>
    </w:p>
    <w:p>
      <w:r>
        <w:t>Pages translated : 2</w:t>
      </w:r>
    </w:p>
    <w:p/>
    <w:p>
      <w:r>
        <w:rPr>
          <w:b/>
        </w:rPr>
        <w:t>[Pages 1–2]</w:t>
      </w:r>
    </w:p>
    <w:p>
      <w:r>
        <w:t xml:space="preserve">C/1541/25  </w:t>
        <w:br/>
        <w:t xml:space="preserve">CTT/ CACESA  </w:t>
        <w:br/>
        <w:t xml:space="preserve">RESOLUTION  </w:t>
        <w:br/>
        <w:t xml:space="preserve">FILE CCT / CACESA  </w:t>
        <w:br/>
        <w:t xml:space="preserve">(C/1541/25)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March 26, 2025</w:t>
      </w:r>
    </w:p>
    <w:p>
      <w:r>
        <w:t>The Competition Chamber has analyzed the merger file processed in accordance with Law 15/2007, of July 3, on the Defense of Competition, regarding the economic concentration operation consisting of the acquisition by CTT Expresso-Serviços Postais e Logística S.A. (CTT), of exclusive control over Compañía Auxiliar al Cargo Express, S.A.U. Auxiliar Logística Aeroportuaria, S.A.U., CACESA Forwarding And Logistics Tasimacilik Limited Sirketi, Cacesa Tech &amp; Logistics Tanger MED, Cacesa Forwarding and Logistics D.O.O. (CACESA) through the acquisition of all of its share capital.</w:t>
      </w:r>
    </w:p>
    <w:p>
      <w:r>
        <w:t>In accordance with the report and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National Commission of Markets and Competition, it is up to the affected companies to determine to what extent in a concentration operation their agreements are ancillary to it.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