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https://www.cnmc.es/expedientes/c154225</w:t>
      </w:r>
    </w:p>
    <w:p>
      <w:r>
        <w:t>Pages translated : 2</w:t>
      </w:r>
    </w:p>
    <w:p/>
    <w:p>
      <w:r>
        <w:rPr>
          <w:b/>
        </w:rPr>
        <w:t>[Pages 1–2]</w:t>
      </w:r>
    </w:p>
    <w:p>
      <w:r>
        <w:t xml:space="preserve">C/1542/25  </w:t>
        <w:br/>
        <w:t xml:space="preserve">BIDCO / STAMINA TOPCO  </w:t>
        <w:br/>
        <w:t xml:space="preserve">RESOLUTION  </w:t>
        <w:br/>
        <w:t xml:space="preserve">FILE BIDCO / STAMINA TOPCO  </w:t>
        <w:br/>
        <w:t xml:space="preserve">(C/1542/25)  </w:t>
        <w:br/>
        <w:t xml:space="preserve">COMPETITION CHAMBER COUNCIL  </w:t>
        <w:br/>
        <w:t xml:space="preserve">President  </w:t>
        <w:br/>
        <w:t xml:space="preserve">Ms. Cani Fernández Vicién  </w:t>
        <w:br/>
        <w:t xml:space="preserve">Council Members  </w:t>
        <w:br/>
        <w:t xml:space="preserve">Ms. Pilar Sánchez Núñez  </w:t>
        <w:br/>
        <w:t xml:space="preserve">Mr. Rafael Iturriaga Nieva  </w:t>
        <w:br/>
        <w:t xml:space="preserve">Mr. Pere Soler Campins  </w:t>
        <w:br/>
        <w:t xml:space="preserve">Ms. María Vidales Picazo  </w:t>
        <w:br/>
        <w:t xml:space="preserve">Council Secretary  </w:t>
        <w:br/>
        <w:t xml:space="preserve">Mr. Miguel Bordiu Garcia-Ovies  </w:t>
        <w:br/>
        <w:t xml:space="preserve">In Madrid, on March 19, 2025  </w:t>
        <w:br/>
        <w:t xml:space="preserve">The Competition Chamber has analyzed the merger file processed in accordance with Law 15/2007, of July 3, on the Defense of Competition, concerning the economic concentration operation consisting of the acquisition of exclusive control by SKIO BIDCO B.V. of STAMINA TOPCO B.V.1, and indirectly of SYNTHON B.V. In accordance with the report and proposal submitted by the Competition Directorate, the Competition Chamber has resolved, applying Article 57.2.a) of the aforementioned Law 15/2007, of July 3, to authorize the said concentration operation.  </w:t>
        <w:br/>
        <w:t xml:space="preserve">Likewise, in accordance with the principle of self-assessment, as set forth in recital 21 of Council Regulation 139/2004,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