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https://www.cnmc.es/expedientes/c154325</w:t>
      </w:r>
    </w:p>
    <w:p>
      <w:r>
        <w:t>Pages translated : 2</w:t>
      </w:r>
    </w:p>
    <w:p/>
    <w:p>
      <w:r>
        <w:rPr>
          <w:b/>
        </w:rPr>
        <w:t>[Pages 1–2]</w:t>
      </w:r>
    </w:p>
    <w:p>
      <w:r>
        <w:t xml:space="preserve">C/1543/25  </w:t>
        <w:br/>
        <w:t xml:space="preserve">LOUIS DREYFUS COMPANY / ILLERTISSEN  </w:t>
        <w:br/>
        <w:t xml:space="preserve">RESOLUTION  </w:t>
        <w:br/>
        <w:t xml:space="preserve">FILE LOUIS DREYFUS COMPANY / ILLERTISSEN  </w:t>
        <w:br/>
        <w:t xml:space="preserve">(C/1543/25)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March 26, 2025</w:t>
      </w:r>
    </w:p>
    <w:p>
      <w:r>
        <w:t>The Competition Chamber has analyzed the concentration file processed in accordance with Law 15/2007, of July 3, on the Defense of Competition, regarding the economic concentration operation consisting of the acquisition of exclusive control by LOUIS DREYFUS COMPANY SUISSE S.A. of GRUNAU ILLERTISSEN GMBH and other assets, intellectual property rights, and trademarks owned by BASF SE1. According to the report and proposal submitted by the Competition Directorate, the Competition Chamber has resolved, in application of Article 57.2.a) of the aforementioned Law 15/2007, of July 3, to authorize the said concentration operation.</w:t>
      </w:r>
    </w:p>
    <w:p>
      <w:r>
        <w:t>Likewise, in accordance with the principle of self-assessment, as stated in recital 21 of Regulation 139/2004 of the Council, of January 20, 2004, on the control of concentrations between companies and as established in the Communication of the Commission on restrictions directly linked to the execution of a concentration and necessary for that purpose (2005/C 56/03), it is up to the affected companies to determine to what extent their agreements are ancillary to a concentration operation.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