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https://www.cnmc.es/expedientes/c154625</w:t>
      </w:r>
    </w:p>
    <w:p>
      <w:r>
        <w:t>Pages translated : 2</w:t>
      </w:r>
    </w:p>
    <w:p/>
    <w:p>
      <w:r>
        <w:rPr>
          <w:b/>
        </w:rPr>
        <w:t>[Pages 1–2]</w:t>
      </w:r>
    </w:p>
    <w:p>
      <w:r>
        <w:t>C/1546/25 AO-GRUPO COOP/SUPERMERCADOS KUUPS RESOLUTION FILE AO-GRUPO COOP/SUPERMERCADOS KUUPS (C/1546/25) COUNCIL. COMPETITION CHAMBER President Ms. Cani Fernández Vicién Councilors Ms. Pilar Sánchez Núñez Mr. Rafael Iturriaga Nieva Mr. Pere Soler Campins Ms. María Vidales Picazo Secretary of the Council Mr. Miguel Bordiu Garcia-Ovies In Barcelona, on April 10, 2025 The Competition Chamber has analyzed the concentration file processed in accordance with Law 15/2007, of July 3, on the Defense of Competition, regarding the economic concentration operation consisting of the joint control acquisition by TRANSGOURMET IBERICA S.A.U. (TRANSGOURMET) and ALCARAZ &amp; ORTEGA INVESTMENT S.L. (AO) of 33 supermarkets previously exclusively controlled by KUUPS DESIGN INTERNATIONAL S.L.U. (KUUPS), a subsidiary of AO. According to the report and proposal submitted by the Directorate of Competition, the Competition Chamber has resolved, in application of Article 57.2.a) of the aforementioned Law 15/2007, of July 3, to authorize the aforementioned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not considered necessary for the execution of the operation nor accessory to it, remaining subject to the regulations on agreements between companies, the confidentiality clauses, non-competition, and non-solicitation in what exceeds three years of duration and the exclusive and indefinite supply agreement. All of this in accordance with what is indicated in the aforementioned report proposal from the Directorate of Competition. This Resolution shall be communicated to the Directorate of Competition of the National Commission on Markets and Competition and notified to the interested party, informing them that it concludes the administrative route and that a contentious-administrative appeal may be filed against it before the National Court, within two months from the day following its notification. National Commission on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