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https://www.cnmc.es/expedientes/c155025</w:t>
      </w:r>
    </w:p>
    <w:p>
      <w:r>
        <w:t>Pages translated : 2</w:t>
      </w:r>
    </w:p>
    <w:p/>
    <w:p>
      <w:r>
        <w:rPr>
          <w:b/>
        </w:rPr>
        <w:t>[Pages 1–2]</w:t>
      </w:r>
    </w:p>
    <w:p>
      <w:r>
        <w:t xml:space="preserve">C/1550/25  </w:t>
        <w:br/>
        <w:t xml:space="preserve">IDEALISTA / PORTAL 47  </w:t>
        <w:br/>
        <w:t xml:space="preserve">RESOLUTION  </w:t>
        <w:br/>
        <w:t xml:space="preserve">FILE IDEALISTA / PORTAL 47  </w:t>
        <w:br/>
        <w:t xml:space="preserve">(C/1550/25)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Ms. María Ángeles Rodríguez Paraja</w:t>
      </w:r>
    </w:p>
    <w:p>
      <w:r>
        <w:t>In Madrid, on October 1, 2025</w:t>
      </w:r>
    </w:p>
    <w:p>
      <w:r>
        <w:t>On April 8, 2025, the National Commission on Markets and Competition (CNMC) was notified, in accordance with Article 9 of Law 15/2007, of July 3, on the Defense of Competition (LDC), of the concentration operation consisting of the acquisition by idealista S.A.U. of exclusive control over Portal47 Ltd.</w:t>
      </w:r>
    </w:p>
    <w:p>
      <w:r>
        <w:t>On September 23, 2025, the Notifier submitted a document in which it formally communicates its decision to withdraw from the proposed operation, requesting the withdrawal of the notification and that the Competition Directorate propose the filing of the reference file, in accordance with Articles 58.4.d) of the LDC and 54.3 of the Competition Defense Regulation, approved by Royal Decree 261/2008, of February 22.</w:t>
      </w:r>
    </w:p>
    <w:p>
      <w:r>
        <w:t>In accordance with the report and proposal submitted by the Competition Directorate, the Competition Chamber has resolved, under the application of Article 57.2.e) of the aforementioned Law 15/2007, of July 3, to agree to the filing of the proceedings.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