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https://www.cnmc.es/expedientes/c155325</w:t>
      </w:r>
    </w:p>
    <w:p>
      <w:r>
        <w:t>Pages translated : 2</w:t>
      </w:r>
    </w:p>
    <w:p/>
    <w:p>
      <w:r>
        <w:rPr>
          <w:b/>
        </w:rPr>
        <w:t>[Pages 1–2]</w:t>
      </w:r>
    </w:p>
    <w:p>
      <w:r>
        <w:t xml:space="preserve">C/1553/25  </w:t>
        <w:br/>
        <w:t xml:space="preserve">PAI PARTNERS / NUZOA ANIMAL HEALTH  </w:t>
        <w:br/>
        <w:t xml:space="preserve">RESOLUTION  </w:t>
        <w:br/>
        <w:t xml:space="preserve">FILE PAI PARTNERS / NUZOA ANIMAL HEALTH  </w:t>
        <w:br/>
        <w:t xml:space="preserve">(C/1553/25)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April 28, 2025</w:t>
      </w:r>
    </w:p>
    <w:p>
      <w:r>
        <w:t>The Competition Chamber has analyzed the merger file processed in accordance with Law 15/2007, of July 3, on the Defense of Competition, regarding the economic concentration operation consisting of the acquisition by PAI PARTNERS of exclusive control of NUZOA ANIMAL HEALTH.</w:t>
      </w:r>
    </w:p>
    <w:p>
      <w:r>
        <w:t>In accordance with the report and proposal submitted by the Competition Directorate, the Competition Chamber has resolved, applying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w:t>
      </w:r>
    </w:p>
    <w:p>
      <w:r>
        <w:t>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