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https://www.cnmc.es/expedientes/c155425</w:t>
      </w:r>
    </w:p>
    <w:p>
      <w:r>
        <w:t>Pages translated : 2</w:t>
      </w:r>
    </w:p>
    <w:p/>
    <w:p>
      <w:r>
        <w:rPr>
          <w:b/>
        </w:rPr>
        <w:t>[Pages 1–2]</w:t>
      </w:r>
    </w:p>
    <w:p>
      <w:r>
        <w:t xml:space="preserve">C/1554/25  </w:t>
        <w:br/>
        <w:t xml:space="preserve">IRESTAL / THIELMANN  </w:t>
        <w:br/>
        <w:t xml:space="preserve">RESOLUTION  </w:t>
        <w:br/>
        <w:t xml:space="preserve">FILE IRESTAL/THIELMANN  </w:t>
        <w:br/>
        <w:t xml:space="preserve">(C/1554/25)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May 9, 2025</w:t>
      </w:r>
    </w:p>
    <w:p>
      <w:r>
        <w:t>The Competition Chamber has analyzed the merger file processed in accordance with Law 15/2007, of July 3, on the Defense of Competition, concerning the economic concentration operation consisting of the acquisition by IRESTAL EUROPE, S.L., of THIELMANN PORTINOX SPAIN, S.A.U. In accordance with the report and proposal submitted by the Competition Directorate, the Competition Chamber has resolved, in application of article 57.2.a) of the aforementioned Law 15/2007, of July 3, to authorize the aforementioned concentration operation.</w:t>
      </w:r>
    </w:p>
    <w:p>
      <w:r>
        <w:t>Likewise, in accordance with the principle of self-assessment, as set forth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2  </w:t>
        <w:br/>
        <w:t xml:space="preserve">C/ Alcalá, 47 – 28014 Madrid - C/ Bolivia, 56 – 08018 Barcelona  </w:t>
        <w:br/>
        <w:t>www.cnmc.es</w:t>
      </w:r>
    </w:p>
    <w:p>
      <w:r>
        <w:t xml:space="preserve">C/1554/25  </w:t>
        <w:br/>
        <w:t>IRESTAL / THIELMANN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