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https://www.cnmc.es/expedientes/c155825</w:t>
      </w:r>
    </w:p>
    <w:p>
      <w:r>
        <w:t>Pages translated : 2</w:t>
      </w:r>
    </w:p>
    <w:p/>
    <w:p>
      <w:r>
        <w:rPr>
          <w:b/>
        </w:rPr>
        <w:t>[Pages 1–2]</w:t>
      </w:r>
    </w:p>
    <w:p>
      <w:r>
        <w:t xml:space="preserve">C/1558/25  </w:t>
        <w:br/>
        <w:t xml:space="preserve">MIURA / CURRENT PARTNERS / SAESCO / CARDIOLINK  </w:t>
        <w:br/>
        <w:t xml:space="preserve">RESOLUTION  </w:t>
        <w:br/>
        <w:t xml:space="preserve">FILE MIURA / CURRENT PARTNERS / SAESCO / CARDIOLINK  </w:t>
        <w:br/>
        <w:t xml:space="preserve">(C/1558/25)  </w:t>
        <w:br/>
        <w:t>COUNCIL. COMPETITION CHAMBER</w:t>
      </w:r>
    </w:p>
    <w:p>
      <w:r>
        <w:t xml:space="preserve">President  </w:t>
        <w:br/>
        <w:t>Ms. Cani Fernández Vicién</w:t>
      </w:r>
    </w:p>
    <w:p>
      <w:r>
        <w:t xml:space="preserve">Counselors  </w:t>
        <w:br/>
        <w:t xml:space="preserve">Ms. Pilar Sánchez Núñez  </w:t>
        <w:br/>
        <w:t xml:space="preserve">Mr. Pere Soler Campins  </w:t>
        <w:br/>
        <w:t>Ms. María Vidales Picazo</w:t>
      </w:r>
    </w:p>
    <w:p>
      <w:r>
        <w:t xml:space="preserve">Secretary of the Council  </w:t>
        <w:br/>
        <w:t>Mr. Miguel Bordiu Garcia-Ovies</w:t>
      </w:r>
    </w:p>
    <w:p>
      <w:r>
        <w:t>In Madrid, on May 19, 2025</w:t>
      </w:r>
    </w:p>
    <w:p>
      <w:r>
        <w:t>The Competition Chamber has analyzed the concentration file processed in accordance with Law 15/2007, of July 3, on the Defense of Competition, regarding the economic concentration operation consisting of the acquisition by MIURA S.G.E.I.C., S.A. (“MIURA”) of joint control of SAESCO MEDICAL, S.L. (“SAESCO”)1, which in turn will acquire, in a single act2, exclusive control over CARDIOLINK, S.L. (“CARDIOLINK”). According to the report and proposal submitted by the Directorate of Competition, the Competition Chamber has resolved, in application of Article 57.2.a) of the aforementioned Law 15/2007, of July 3, to authorize the aforementioned concentration operation.</w:t>
      </w:r>
    </w:p>
    <w:p>
      <w:r>
        <w:t xml:space="preserve">Likewise, in accordance with the principle of self-assessment, as stated in recitals 21 of Regulation 139/2004 of the Council, of January 20, 2004, on the control of concentrations between companies and as established in the  </w:t>
        <w:br/>
        <w:t xml:space="preserve">1 Joint control is acquired between MIURA and the current partners of SAESCO (natural persons), requiring an agreement between both parties on decisions in relevant matters or Reserved Matters.  </w:t>
        <w:br/>
        <w:t>2 The operation is structured in two transactions conditioned upon each other in accordance with the provisions of paragraphs 43, 46, and 47 of the consolidated Communication of the Commission on jurisdictional issues in competition matters, made in accordance with Council Regulation (EC) No 139/2004 on the control of concentrations between companies.</w:t>
      </w:r>
    </w:p>
    <w:p>
      <w:r>
        <w:t xml:space="preserve">National Commission of Markets and Competition 1 of 2  </w:t>
        <w:br/>
        <w:t xml:space="preserve">C/ Alcalá, 47 – 28014 Madrid - C/ Bolivia, 56 – 08018 Barcelona  </w:t>
        <w:br/>
        <w:t>www.cnmc.es</w:t>
      </w:r>
    </w:p>
    <w:p>
      <w:r>
        <w:t xml:space="preserve">C/1558/25  </w:t>
        <w:br/>
        <w:t xml:space="preserve">MIURA / CURRENT PARTNERS / SAESCO / CARDIOLINK  </w:t>
        <w:br/>
        <w:t>Communication of the Commission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