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https://www.cnmc.es/expedientes/c156025</w:t>
      </w:r>
    </w:p>
    <w:p>
      <w:r>
        <w:t>Pages translated : 2</w:t>
      </w:r>
    </w:p>
    <w:p/>
    <w:p>
      <w:r>
        <w:rPr>
          <w:b/>
        </w:rPr>
        <w:t>[Pages 1–2]</w:t>
      </w:r>
    </w:p>
    <w:p>
      <w:r>
        <w:t xml:space="preserve">C/1560/25  </w:t>
        <w:br/>
        <w:t xml:space="preserve">KUEHNE &amp; NAGEL / TDN  </w:t>
        <w:br/>
        <w:t xml:space="preserve">RESOLUTION  </w:t>
        <w:br/>
        <w:t xml:space="preserve">FILE KUEHNE &amp; NAGEL / TDN  </w:t>
        <w:br/>
        <w:t xml:space="preserve">(C/1560/25)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May 28, 2025  </w:t>
        <w:br/>
        <w:t xml:space="preserve">The Competition Chamber has analyzed the merger file processed in accordance with Law 15/2007, of July 3, on the Defense of Competition, regarding the economic concentration operation consisting of the acquisition by KUEHNE &amp; NAGEL S.A.U. of exclusive control over TDN, S.A.U. through the acquisition of all its share capital.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