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https://www.cnmc.es/expedientes/c156225</w:t>
      </w:r>
    </w:p>
    <w:p>
      <w:r>
        <w:t>Pages translated : 2</w:t>
      </w:r>
    </w:p>
    <w:p/>
    <w:p>
      <w:r>
        <w:rPr>
          <w:b/>
        </w:rPr>
        <w:t>[Pages 1–2]</w:t>
      </w:r>
    </w:p>
    <w:p>
      <w:r>
        <w:t xml:space="preserve">C/1562/25  </w:t>
        <w:br/>
        <w:t xml:space="preserve">STONESHIELD-COLONIAL / GS JALOR  </w:t>
        <w:br/>
        <w:t xml:space="preserve">RESOLUTION  </w:t>
        <w:br/>
        <w:t xml:space="preserve">FILE STONESHIELD-COLONIAL / GS JALOR  </w:t>
        <w:br/>
        <w:t xml:space="preserve">(C/1562/25)  </w:t>
        <w:br/>
        <w:t>COUNCIL. COMPETITION CHAMBER</w:t>
      </w:r>
    </w:p>
    <w:p>
      <w:r>
        <w:t xml:space="preserve">President  </w:t>
        <w:br/>
        <w:t>Ms. Cani Fernández Vicién</w:t>
      </w:r>
    </w:p>
    <w:p>
      <w:r>
        <w:t xml:space="preserve">Council Members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June 11, 2025</w:t>
      </w:r>
    </w:p>
    <w:p>
      <w:r>
        <w:t>The Competition Chamber has analyzed the merger file processed in accordance with Law 15/2007, of July 3, on the Defense of Competition, concerning the economic concentration operation consisting of the creation of a joint venture (GS JALOR) to be jointly controlled by STONESHIELD S&amp;I FUND IV (S&amp;I COMPARTMENT) and INMOBILIARIA COLONIAL, SOCIMI, S.A. (COLONIAL). In accordance with the report and proposal submitted by the Directorate of Competition, the Competition Chamber has resolved, applying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