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https://www.cnmc.es/expedientes/c156325</w:t>
      </w:r>
    </w:p>
    <w:p>
      <w:r>
        <w:t>Pages translated : 7</w:t>
      </w:r>
    </w:p>
    <w:p/>
    <w:p>
      <w:r>
        <w:rPr>
          <w:b/>
        </w:rPr>
        <w:t>[Pages 1–3]</w:t>
      </w:r>
    </w:p>
    <w:p>
      <w:r>
        <w:t xml:space="preserve">C/1563/25  </w:t>
        <w:br/>
        <w:t xml:space="preserve">HOSPITAL POLUSA / CLÍNICA GAIAS LUGO  </w:t>
        <w:br/>
        <w:t xml:space="preserve">RESOLUTION  </w:t>
        <w:br/>
        <w:t xml:space="preserve">FILE HOSPITAL POLUSA/CLÍNICA GAIAS LUGO  </w:t>
        <w:br/>
        <w:t xml:space="preserve">(C/1563/25)  </w:t>
        <w:br/>
        <w:t xml:space="preserve">COUNCIL. COMPETITION CHAMBER  </w:t>
        <w:br/>
        <w:t xml:space="preserve">President  </w:t>
        <w:br/>
        <w:t xml:space="preserve">Ms. Cani Fernández Vicién  </w:t>
        <w:br/>
        <w:t xml:space="preserve">Councillors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García-Ovies  </w:t>
        <w:br/>
        <w:t xml:space="preserve">In Madrid, on December 17, 2025  </w:t>
        <w:br/>
        <w:t xml:space="preserve">The Competition Chamber of the National Commission on Markets and Competition, with the composition expressed, pursuant to Article 58 of Law 15/2007, of July 3, on the Defense of Competition (LDC), has issued a resolution in file C/1563/25, HOSPITAL POLUSA/CLÍNICA GAIAS LUGO, regarding the concentration operation consisting of the acquisition, by Grupo RIBERA SALUD, through HOSPITAL POLUSA S.A., of exclusive control over the healthcare business carried out by CLINICA GAIAS LUGO (GAIAS LUGO).  </w:t>
        <w:br/>
        <w:t xml:space="preserve">1. BACKGROUND  </w:t>
        <w:br/>
        <w:t xml:space="preserve">(1) On May 28, 2025, a notification regarding the concentration operation was received by the National Commission on Markets and Competition (CNMC) consisting of the acquisition, by Grupo RIBERA SALUD, through HOSPITAL POLUSA S.A. (HOSPITAL POLUSA), of exclusive control over the healthcare business carried out by CLINICA GAIAS LUGO (GAIAS LUGO).  </w:t>
        <w:br/>
        <w:t xml:space="preserve">(2) The notification has been made by the acquiring company, as established in Article 9 of Law 15/2007, of July 3, on the Defense of Competition (LDC), for exceeding the threshold established in Article 8.1.a) of the aforementioned regulation. This operation is subject to the provisions of the Competition Defense Regulation, approved by Royal Decree 261/2008, of February 22 (RDC).  </w:t>
        <w:br/>
        <w:t xml:space="preserve">(3) On May 30, 2025, the Competition Directorate (DC) made a request for information to the notifying party pursuant to the provisions of Articles 39.1 and 55.5 of the LDC. Additionally, on May 30 and June 17, 2025, pursuant to Articles 39.1 and 55.6 of the LDC, it requested third parties for the necessary information for the proper assessment of the concentration (first market test).  </w:t>
        <w:br/>
        <w:t xml:space="preserve">(4) On July 3 and 24, 2025, the notifying party provided supplementary information regarding the operation.  </w:t>
        <w:br/>
        <w:t xml:space="preserve">(5) In accordance with Article 57.1 of Law 15/2007, of July 3, on the Defense of Competition (LDC), the DC formed a file and prepared the corresponding report on the operation along with a resolution proposal. The CNMC Council, on July 30, 2025, agreed to initiate the second phase of the procedure pursuant to Article 57.2.c) of the LDC, considering that the aforementioned concentration operation could hinder the maintenance of effective competition in all or some of the analyzed markets.  </w:t>
        <w:br/>
        <w:t xml:space="preserve">(6) In application of Article 58.1 of the LDC, the DC prepared a brief note on the concentration which, on August 7, 2025, was made public on the CNMC website and communicated to the notifying party, the Council of Consumers and Users, and third operators, so that they could submit their allegations within a period of 10 days.  </w:t>
        <w:br/>
        <w:t xml:space="preserve">(7) On August 5, 2025, an information request was made to the notifying party, pursuant to Articles 39.1 and 55.5 of the LDC. Subsequently, the non-binding mandatory report on the operation was requested from the Galician Competition Commission, in accordance with the provisions of Article 58.1 of the LDC and Article 65.3 of the RDC. These actions suspended the resolution period of the referenced file pursuant to Articles 37.1.b) and 37.2.b) of the LDC and 12.1 a) and d) of the RDC.  </w:t>
        <w:br/>
        <w:t xml:space="preserve">(8) On August 22, 2025, pursuant to Articles 39.1 and 55.6 of the LDC, the DC requested new information from third parties for the proper assessment of the concentration (second market test). Pursuant to Articles 37.1 b) of the LDC and 12.1 a) of the RDC, this request resulted in the suspension of the maximum deadlines for resolution. On September 22, 2025, the last response to the aforementioned requests was received by the CNMC.  </w:t>
        <w:br/>
        <w:t xml:space="preserve">(9) On October 15, 2025, an information request was made to the notifying party, responded to on October 29, pursuant to Articles 39.1 and 55.5 of the LDC, which suspended the resolution period of the referenced file pursuant to Articles 37.2.b) of the LDC and 12.1 d) of the RDC.  </w:t>
        <w:br/>
        <w:t xml:space="preserve">(10) On November 26, 2025, the DC prepared a statement of facts, in application of Article 58.2 of the LDC, which included the possible obstacles to competition arising from the concentration and was notified on November 27, 2025, to the notifying party for them to submit allegations within a period of 10 days.  </w:t>
        <w:br/>
        <w:t xml:space="preserve">(11) On December 2, 2025, the notifying party submitted a proposal for commitments in accordance with the provisions of Article 59 of the LDC.  </w:t>
        <w:br/>
        <w:t xml:space="preserve">(12) On December 16, 2025, the DC submitted its proposal report to the CNMC Council, in accordance with the provisions of Article 58 of Law 15/2007, of July 3, on the Defense of Competition.  </w:t>
        <w:br/>
        <w:t xml:space="preserve">(13) The Competition Chamber of the CNMC Council deliberated and ruled on the matter in its meeting of December 17, 2025.  </w:t>
        <w:br/>
        <w:t xml:space="preserve">2. LEGAL GROUNDS  </w:t>
        <w:br/>
        <w:t xml:space="preserve">2.1. In accordance with Article 58.4 of the LDC, based on the definitive resolution proposal of the Competition Directorate, the Competition Chamber will adopt, in the second phase, the decision in which it may: a) authorize the concentration; b) condition the authorization of the concentration on compliance with certain commitments proposed by the notifiers or conditions; c) prohibit the concentration; or d) agree to archive the proceedings in the cases provided for in the Law.  </w:t>
        <w:br/>
        <w:t>2.2. In accordance with the provisions of Article 59 of the LDC, in order to resolve the obstacles to maintaining effective competition that may arise from the notified concentration operation, on December 2, 2025, HOSPITAL POLUSA submitted, within the established period, a proposal for commitments (under Article 59 of the LDC, for the purpose of</w:t>
      </w:r>
    </w:p>
    <w:p>
      <w:r>
        <w:rPr>
          <w:b/>
        </w:rPr>
        <w:t>[Pages 4–6]</w:t>
      </w:r>
    </w:p>
    <w:p>
      <w:r>
        <w:t xml:space="preserve">C/1563/25  </w:t>
        <w:br/>
        <w:t xml:space="preserve">HOSPITAL POLUSA / CLÍNICA GAIAS LUGO  </w:t>
        <w:br/>
        <w:t xml:space="preserve">to resolve the obstacles for maintaining effective competition that  </w:t>
        <w:br/>
        <w:t xml:space="preserve">could arise from the notified concentration operation:  </w:t>
        <w:br/>
        <w:t xml:space="preserve">Commitment to update the price of MRI tests for pure private patients according to the CPI  </w:t>
        <w:br/>
        <w:t xml:space="preserve">HOSPITAL POLUSA commits, for pure private patients, to  </w:t>
        <w:br/>
        <w:t xml:space="preserve">update the rates of MRI tests at most, according to the CPI,  </w:t>
        <w:br/>
        <w:t xml:space="preserve">for three years. This limit will apply to MRI tests conducted in the  </w:t>
        <w:br/>
        <w:t xml:space="preserve">province of Lugo for pure private patients, both at the facilities of  </w:t>
        <w:br/>
        <w:t xml:space="preserve">HOSPITAL POLUSA and GAIAS LUGO.  </w:t>
        <w:br/>
        <w:t xml:space="preserve">Commitment to invest in the quality of service of MRI tests  </w:t>
        <w:br/>
        <w:t xml:space="preserve">HOSPITAL POLUSA commits to making an investment of at least  </w:t>
        <w:br/>
        <w:t xml:space="preserve">€600,000 in the two years following the closing of the Operation, for the purpose of  </w:t>
        <w:br/>
        <w:t xml:space="preserve">adapting, renewing, and improving the MRI equipment at the facilities of  </w:t>
        <w:br/>
        <w:t xml:space="preserve">GAIAS LUGO. This investment will allow:  </w:t>
        <w:br/>
        <w:t xml:space="preserve">• Expanding the variety of MRI studies available at the clinic,  </w:t>
        <w:br/>
        <w:t xml:space="preserve">including breast, prostate, and cardiac examinations.  </w:t>
        <w:br/>
        <w:t xml:space="preserve">• Improving image quality  </w:t>
        <w:br/>
        <w:t xml:space="preserve">• Reducing the saturation of the MRI service of HOSPITAL POLUSA  </w:t>
        <w:br/>
        <w:t xml:space="preserve">• Decreasing energy consumption, with the consequent environmental benefit  </w:t>
        <w:br/>
        <w:t xml:space="preserve">and reduction of operating costs.  </w:t>
        <w:br/>
        <w:t xml:space="preserve">The obligations resulting from the commitments will be enforceable and will take  </w:t>
        <w:br/>
        <w:t xml:space="preserve">effect from the closing of the operation, without prejudice to the specific deadlines  </w:t>
        <w:br/>
        <w:t xml:space="preserve">indicated in each case.  </w:t>
        <w:br/>
        <w:t xml:space="preserve">For the purpose of verifying compliance, Grupo RIBERA SALUD will send to the DC  </w:t>
        <w:br/>
        <w:t xml:space="preserve">an annual report during the three years of validity of the commitments. The deadline  </w:t>
        <w:br/>
        <w:t xml:space="preserve">for submitting said report will correspond to the day and month on  </w:t>
        <w:br/>
        <w:t xml:space="preserve">which the operation is closed.  </w:t>
        <w:br/>
        <w:t xml:space="preserve">Prior to the analysis of the sufficiency of the final commitments  </w:t>
        <w:br/>
        <w:t xml:space="preserve">submitted on December 2, 2025, to resolve the obstacles to  </w:t>
        <w:br/>
        <w:t xml:space="preserve">effective competition posed by the operation, certain  </w:t>
        <w:br/>
        <w:t xml:space="preserve">general considerations are made regarding the objectives of concentration control.  </w:t>
        <w:br/>
        <w:t xml:space="preserve">Article 59 of the LDC provides that when a concentration may  </w:t>
        <w:br/>
        <w:t xml:space="preserve">give rise to obstacles to the maintenance of effective competition, the  </w:t>
        <w:br/>
        <w:t xml:space="preserve">notifying parties, on their own initiative or at the request of the CNMC, may  </w:t>
        <w:br/>
        <w:t xml:space="preserve">propose commitments to resolve them.  </w:t>
        <w:br/>
        <w:t xml:space="preserve">The LDC assigns to the Competition Directorate the authority to examine and  </w:t>
        <w:br/>
        <w:t xml:space="preserve">evaluate these remedies and to the Council of the CNMC the authority to resolve  </w:t>
        <w:br/>
        <w:t xml:space="preserve">on them, preserving the possibility for the CNMC to establish  </w:t>
        <w:br/>
        <w:t xml:space="preserve">conditions if it is considered that the commitments presented are not  </w:t>
        <w:br/>
        <w:t xml:space="preserve">adequate to resolve the identified competition problems.  </w:t>
        <w:br/>
        <w:t xml:space="preserve">This model allows for the safeguarding of competitive conditions  </w:t>
        <w:br/>
        <w:t xml:space="preserve">in the market with maximum respect for the principles of proportionality and  </w:t>
        <w:br/>
        <w:t xml:space="preserve">minimal intervention by the authority when conditioning  </w:t>
        <w:br/>
        <w:t xml:space="preserve">concentration operations.  </w:t>
        <w:br/>
        <w:t xml:space="preserve">Regarding proportionality, it is important to remember that the possible  </w:t>
        <w:br/>
        <w:t xml:space="preserve">commitments should not go beyond the problems caused by the  </w:t>
        <w:br/>
        <w:t xml:space="preserve">notified operation, as their objective is not to redefine the structure of  </w:t>
        <w:br/>
        <w:t xml:space="preserve">the companies or markets in order to resolve pre-existing or unrelated  </w:t>
        <w:br/>
        <w:t xml:space="preserve">competition problems. However, this does not mean that pre-existing  </w:t>
        <w:br/>
        <w:t xml:space="preserve">competition problems cannot be the subject of commitments to the  </w:t>
        <w:br/>
        <w:t xml:space="preserve">extent that the concentration operation exacerbates them.  </w:t>
        <w:br/>
        <w:t xml:space="preserve">In general, it is preferable for the CNMC to opt for the commitments  </w:t>
        <w:br/>
        <w:t xml:space="preserve">offered by the Notifying Party, as long as they are adequate, rather than the  </w:t>
        <w:br/>
        <w:t xml:space="preserve">legal possibility of imposing conditions because, having been offered voluntarily,  </w:t>
        <w:br/>
        <w:t xml:space="preserve">their execution and monitoring are facilitated.  </w:t>
        <w:br/>
        <w:t xml:space="preserve">Section 9 of the European Commission's Communication on  </w:t>
        <w:br/>
        <w:t xml:space="preserve">acceptable solutions in concentration operations states the following:  </w:t>
        <w:br/>
        <w:t xml:space="preserve">“commitments must entirely eliminate competition problems  </w:t>
        <w:br/>
        <w:t xml:space="preserve">and must be complete and effective from all points of view. On the other  </w:t>
        <w:br/>
        <w:t xml:space="preserve">hand, commitments must be capable of being effectively enforced in a  </w:t>
        <w:br/>
        <w:t xml:space="preserve">short period, as market competition conditions will not be  </w:t>
        <w:br/>
        <w:t xml:space="preserve">maintained until the commitments have been fulfilled.”  </w:t>
        <w:br/>
        <w:t xml:space="preserve">Assessment of the operation with the proposed commitments  </w:t>
        <w:br/>
        <w:t xml:space="preserve">The operation would generate a risk of price increases by the  </w:t>
        <w:br/>
        <w:t xml:space="preserve">resulting entity in the market for providing radiodiagnostic services  </w:t>
        <w:br/>
        <w:t xml:space="preserve">through MRI in the province of Lugo for pure private patients, as it involves  </w:t>
        <w:br/>
        <w:t xml:space="preserve">an acquisition of a significant market share, reinforcing the already  </w:t>
        <w:br/>
        <w:t xml:space="preserve">predominant position of the acquiring company in an environment with limited  </w:t>
        <w:br/>
        <w:t xml:space="preserve">competitive pressure. Furthermore, given the resulting market structure, as  </w:t>
        <w:br/>
        <w:t xml:space="preserve">argued, there is a higher probability that the main operators —  </w:t>
        <w:br/>
        <w:t xml:space="preserve">Grupo Quirón and Grupo RIBERA SALUD — could adopt coordinated  </w:t>
        <w:br/>
        <w:t xml:space="preserve">behaviors that lead to price increases, without the need for an explicit  </w:t>
        <w:br/>
        <w:t xml:space="preserve">agreement.  </w:t>
        <w:br/>
        <w:t xml:space="preserve">The DC has analyzed the adequacy, sufficiency, and proportionality of the  </w:t>
        <w:br/>
        <w:t xml:space="preserve">final commitments presented by the notifying party, in order to assess whether  </w:t>
        <w:br/>
        <w:t xml:space="preserve">they effectively eliminate the possible obstacles to competition  </w:t>
        <w:br/>
        <w:t xml:space="preserve">posed by the notified concentration operation.  </w:t>
        <w:br/>
        <w:t xml:space="preserve">The proposed commitment to limit the increase in the price of  </w:t>
        <w:br/>
        <w:t xml:space="preserve">MRI services for pure private patients to the evolution of the CPI represents a  </w:t>
        <w:br/>
        <w:t xml:space="preserve">clear, transparent, and easily monitorable commitment. This commitment  </w:t>
        <w:br/>
        <w:t xml:space="preserve">directly addresses the identified risks, as it limits the ability of  </w:t>
        <w:br/>
        <w:t xml:space="preserve">the resulting entity to increase the prices of MRI tests for pure private  </w:t>
        <w:br/>
        <w:t xml:space="preserve">patients, a segment with little compensatory power.  </w:t>
        <w:br/>
        <w:t xml:space="preserve">It also restricts a possible price coordination between the two main  </w:t>
        <w:br/>
        <w:t xml:space="preserve">competitors arising from the new market structure, by setting a maximum  </w:t>
        <w:br/>
        <w:t xml:space="preserve">ceiling for the prices of the resulting entity.  </w:t>
        <w:br/>
        <w:t xml:space="preserve">Regarding the commitment to invest in service quality, it should be noted,  </w:t>
        <w:br/>
        <w:t xml:space="preserve">firstly, that the DC does not consider that the resulting entity has incentives  </w:t>
        <w:br/>
        <w:t xml:space="preserve">to worsen quality. Furthermore, the DC believes that the efficiencies  </w:t>
        <w:br/>
        <w:t xml:space="preserve">claimed by the notifying party could be achieved without the need for the  </w:t>
        <w:br/>
        <w:t xml:space="preserve">operation. However, the committed investment will contribute to improving  </w:t>
        <w:br/>
        <w:t xml:space="preserve">the quality of service in this specialty in the province of Lugo and to reducing  </w:t>
        <w:br/>
        <w:t xml:space="preserve">patient waiting times.  </w:t>
        <w:br/>
        <w:t xml:space="preserve">For all these reasons, it is considered that, as a whole, the commitments presented  </w:t>
        <w:br/>
        <w:t xml:space="preserve">proportionately, sufficiently, and adequately resolve the risks to  </w:t>
        <w:br/>
        <w:t xml:space="preserve">competition arising from the concentration.  </w:t>
        <w:br/>
        <w:t xml:space="preserve">2.3. After analyzing the Report and Proposal prepared by the  </w:t>
        <w:br/>
        <w:t xml:space="preserve">Competition Directorate and in accordance with the above, this Chamber proposes to  </w:t>
        <w:br/>
        <w:t xml:space="preserve">subordinate the present concentration C/1563/25, to the fulfillment of the commitments  </w:t>
        <w:br/>
        <w:t xml:space="preserve">presented by HOSPITAL POLUSA on December 2, 2025, which must be fulfilled by the  </w:t>
        <w:br/>
        <w:t xml:space="preserve">notifying party.  </w:t>
        <w:br/>
        <w:t xml:space="preserve">2.4. In accordance with the principle of self-assessment, as set out in  </w:t>
        <w:br/>
        <w:t xml:space="preserve">recital 21 of Council Regulation 139/2004 of January 20, 2004, on the  </w:t>
        <w:br/>
        <w:t xml:space="preserve">control of concentrations between companies and the Commission's Communication  </w:t>
        <w:br/>
        <w:t xml:space="preserve">on restrictions directly linked to the execution of a  </w:t>
        <w:br/>
        <w:t xml:space="preserve">concentration and necessary for that purpose, it is up to the  </w:t>
        <w:br/>
        <w:t xml:space="preserve">affected companies themselves to determine to what extent in a concentration operation  </w:t>
        <w:br/>
        <w:t xml:space="preserve">their agreements are ancillary to it.  </w:t>
        <w:br/>
        <w:t>For all these reasons, in light of the cited legal provisions and those of general application, the Competition Chamber of the National Commission on Markets and Competition</w:t>
      </w:r>
    </w:p>
    <w:p>
      <w:r>
        <w:rPr>
          <w:b/>
        </w:rPr>
        <w:t>[Pages 7–7]</w:t>
      </w:r>
    </w:p>
    <w:p>
      <w:r>
        <w:t xml:space="preserve">C/1563/25  </w:t>
        <w:br/>
        <w:t xml:space="preserve">HOSPITAL POLUSA / CLÍNICA GAIAS LUGO  </w:t>
        <w:br/>
        <w:t xml:space="preserve">3. RESOLVES  </w:t>
        <w:br/>
        <w:t xml:space="preserve">First. In accordance with Article 58.4b) of Law 15/2007, of July 3, on the Defense of Competition, to condition the authorization of the concentration C/1563/25, HOSPITAL POLUSA/CLÍNICA GAIAS LUGO, on the compliance with the commitments presented by HOSPITAL POLUSA S.A. and reproduced in this resolution.  </w:t>
        <w:br/>
        <w:t xml:space="preserve">Second. In accordance with the provisions of Article 58.6 of the LDC, this resolution will be executive when any of the situations provided for in that article occurs.  </w:t>
        <w:br/>
        <w:t xml:space="preserve">Third. The non-compliance with the provisions of this resolution will be considered a very serious infringement according to the provisions of Article 62.4.c) of the LDC.  </w:t>
        <w:br/>
        <w:t xml:space="preserve">Fourth. By virtue of the provisions of Article 35.2.c) of the LDC, the monitoring of this resolution is entrusted to the Competition Directorate.  </w:t>
        <w:br/>
        <w:t xml:space="preserve">This resolution shall be communicated to the Competition Directorate and to the Minister of Economy, Trade and Business, as provided in Article 58.5 of the LDC. Likewise, it shall be notified to the interested parties, informing them that this resolution will not be effective, nor executive, nor will it conclude the administrative procedure if none of the two situations provided for in letters a) or b) of Article 58.6 of the LDC occurs and that against it, if the administrative route is exhausted, a contentious-administrative appeal may be filed before the National Court within two months from the notification of the agreements or from the day on which the deadline for issuing them has elapsed, as provided in the aforementioned letters a) or b) of Article 58.6 of the LDC.  </w:t>
        <w:br/>
        <w:t xml:space="preserve">Comisión Nacional de los Mercados y la Competencia 7 de 7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