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https://www.cnmc.es/expedientes/c156425</w:t>
      </w:r>
    </w:p>
    <w:p>
      <w:r>
        <w:t>Pages translated : 1</w:t>
      </w:r>
    </w:p>
    <w:p/>
    <w:p>
      <w:r>
        <w:rPr>
          <w:b/>
        </w:rPr>
        <w:t>[Pages 1–1]</w:t>
      </w:r>
    </w:p>
    <w:p>
      <w:r>
        <w:t xml:space="preserve">C/1564/25  </w:t>
        <w:br/>
        <w:t xml:space="preserve">GPNL INTERNATIONAL HOLDING / URBAN SPORTS  </w:t>
        <w:br/>
        <w:t xml:space="preserve">RESOLUTION  </w:t>
        <w:br/>
        <w:t xml:space="preserve">FILE GPNL INTERNATIONAL HOLDING / URBAN SPORTS  </w:t>
        <w:br/>
        <w:t xml:space="preserve">(C/1564/25)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August 22, 2025</w:t>
      </w:r>
    </w:p>
    <w:p>
      <w:r>
        <w:t>The Competition Chamber has analyzed the concentration file processed in accordance with Law 15/2007, of July 3, on the Defense of Competition, regarding the economic concentration operation consisting of the acquisition by GPNL INTERNATIONAL HOLDING B.V., owner of Wellhub, of 100% of the share capital of URBAN SPORTS GMBH. In accordance with the report and the proposal submitted by the Directorate of Competition, the Competition Chamber has resolved, in application of Article 57.2.b) of the aforementioned Law 15/2007, of July 3, to authorize the aforementioned concentration operation with commitments.</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