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https://www.cnmc.es/expedientes/c156625</w:t>
      </w:r>
    </w:p>
    <w:p>
      <w:r>
        <w:t>Pages translated : 2</w:t>
      </w:r>
    </w:p>
    <w:p/>
    <w:p>
      <w:r>
        <w:rPr>
          <w:b/>
        </w:rPr>
        <w:t>[Pages 1–2]</w:t>
      </w:r>
    </w:p>
    <w:p>
      <w:r>
        <w:t>C/1566/25 HM / HOSPITAL SANTISIMA TRINIDAD RESOLUTION FILE HM / HOSPITAL SANTISIMA TRINIDAD (C/1566/25) COUNCIL. COMPETITION CHAMBER President Ms. Cani Fernández Vicién Councilors Ms. Pilar Sánchez Núñez Mr. Rafael Iturriaga Nieva Mr. Pere Soler Campins Ms. María Vidales Picazo Secretary of the Council Mr. Miguel Bordiu Garcia-Ovies In Madrid, on June 25, 2025 The Competition Chamber has analyzed the merger file processed in accordance with Law 15/2007, of July 3, on the Defense of Competition, regarding the economic concentration operation by which the private hospital group HM (HM GROUP), through Hospital de Salamanca S.L. (HM SALAMANCA), acquired exclusive control over the healthcare business of the Hospital General de la Santísima Trinidad (HOSPITAL ST), owned by the Fundación Hospital General de la Santísima Trinidad (FOUNDATION ST). In accordance with the report and proposal submitted by the Competition Directorate, the Competition Chamber has resolved, applying Article 57.2.a) of the aforementioned Law 15/2007, of July 3, to authorize the aforementioned concentration operation in the first phase without commitments. This is without prejudice to the fact that the execution without prior notification of this operation is being analyzed within the framework of the sanctioning file SNC/DC/090/25 HM-HOSPITAL SANTÍSIMA TRINIDAD, initiated on May 23, 2025, for a possible infringement provided for in Article 62.3.b) of the LDC, for non-compliance with the notification obligation established in Article 9 of said Law. National Commission of Markets and Competition 1 of 2 C/ Alcalá, 47 – 28014 Madrid - C/ Bolivia, 56 – 08018 Barcelona www.cnmc.es C/1566/25 HM / HOSPITAL SANTISIMA TRINIDAD Likewise, taking into account the practice of the CNMC and what is established in the Commission Communication on restrictions directly linked to the execution of a concentration and necessary for that purpose (2005/C 56/03); this Chamber considers that, in the present case, it is not deemed necessary for the execution of the operation nor accessory to it, remaining subject to the regulations on agreements between companies, the non-compete clause regarding the protection of the landlord and in all that exceeds three (3) years in duration. All of this in accordance with what is indicated in the aforementioned report proposal from the Competition Directorate. Communicate this Resolution to the Competition Directorate of the National Commission of Markets and Competition and notify the interested party, informing them that this concludes the administrative route and that a contentious-administrative appeal can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