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https://www.cnmc.es/expedientes/c156825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C/1568/25  </w:t>
        <w:br/>
        <w:t xml:space="preserve">ATITLAN / STONESHIELD / FRANAMA / GAVIOTA  </w:t>
        <w:br/>
        <w:t xml:space="preserve">RESOLUTION  </w:t>
        <w:br/>
        <w:t xml:space="preserve">FILE ATITLAN / STONESHIELD / FRANAMA / GAVIOTA  </w:t>
        <w:br/>
        <w:t xml:space="preserve">(C/1568/25)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Ms. Pilar Sánchez Núñez  </w:t>
        <w:br/>
        <w:t xml:space="preserve">Mr. Rafael Iturriaga Nieva  </w:t>
        <w:br/>
        <w:t xml:space="preserve">Mr. Pere Soler Campins  </w:t>
        <w:br/>
        <w:t xml:space="preserve">Ms. María Vidales Picazo  </w:t>
        <w:br/>
        <w:t xml:space="preserve">Secretary of the Council  </w:t>
        <w:br/>
        <w:t xml:space="preserve">Mr. Miguel Bordiu Garcia-Ovies  </w:t>
        <w:br/>
        <w:t xml:space="preserve">In Madrid, on June 18, 2025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regarding the economic concentration operation consisting of the acquisition  </w:t>
        <w:br/>
        <w:t xml:space="preserve">by Atitlan Grupo Empresarial, S.L (ATITLAN), Stoneshield Southern Real  </w:t>
        <w:br/>
        <w:t xml:space="preserve">Estate Holding IV S.a.r.l (STONESHIELD SREH IV) and FRANAMA INVERSIONES  </w:t>
        <w:br/>
        <w:t xml:space="preserve">S.L (FRANAMA), of joint control of GAVIOTA SIMBAC S.L and its subsidiaries  </w:t>
        <w:br/>
        <w:t xml:space="preserve">(GAVIOTA). In accordance with the report and proposal submitted by the  </w:t>
        <w:br/>
        <w:t xml:space="preserve">Directorate of Competition, the Competition Chamber has resolved, applying  </w:t>
        <w:br/>
        <w:t xml:space="preserve">Article 57.2.a) of the aforementioned Law 15/2007, of July 3, to authorize  </w:t>
        <w:br/>
        <w:t xml:space="preserve">the aforementioned concentration operation.  </w:t>
        <w:br/>
        <w:t xml:space="preserve">Likewise, in accordance with the principle of self-assessment, as stated in  </w:t>
        <w:br/>
        <w:t xml:space="preserve">recital 21 of Regulation 139/2004 of the Council, of January 20, 2004,  </w:t>
        <w:br/>
        <w:t xml:space="preserve">on the control of concentrations between companies and as established in the  </w:t>
        <w:br/>
        <w:t xml:space="preserve">Commission Communication on restrictions directly linked to the execution of  </w:t>
        <w:br/>
        <w:t xml:space="preserve">a concentration and necessary for that purpose (2005/C 56/03), it is up to  </w:t>
        <w:br/>
        <w:t xml:space="preserve">the companies involved to determine to what extent in a concentration  </w:t>
        <w:br/>
        <w:t xml:space="preserve">operation their agreements are ancillary to it. All of this in accordance  </w:t>
        <w:br/>
        <w:t xml:space="preserve">with what is indicated in the aforementioned report proposal from the  </w:t>
        <w:br/>
        <w:t xml:space="preserve">Directorate of Competition.  </w:t>
        <w:br/>
        <w:t xml:space="preserve">This Resolution shall be communicated to the Directorate of Competition of  </w:t>
        <w:br/>
        <w:t xml:space="preserve">the National Commission of Markets and Competition and notified to the  </w:t>
        <w:br/>
        <w:t xml:space="preserve">interested party, informing them that it concludes the administrative  </w:t>
        <w:br/>
        <w:t xml:space="preserve">procedure and that a contentious-administrative appeal may be filed against  </w:t>
        <w:br/>
        <w:t xml:space="preserve">it before the National Court, within two months from the day following  </w:t>
        <w:br/>
        <w:t xml:space="preserve">its notification.  </w:t>
        <w:br/>
        <w:t>National Commission of Markets and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