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https://www.cnmc.es/expedientes/c157225</w:t>
      </w:r>
    </w:p>
    <w:p>
      <w:r>
        <w:t>Pages translated : 2</w:t>
      </w:r>
    </w:p>
    <w:p/>
    <w:p>
      <w:r>
        <w:rPr>
          <w:b/>
        </w:rPr>
        <w:t>[Pages 1–2]</w:t>
      </w:r>
    </w:p>
    <w:p>
      <w:r>
        <w:t xml:space="preserve">C/1572/25  </w:t>
        <w:br/>
        <w:t xml:space="preserve">IBERDROLA / HGSA – MADE - EEAU  </w:t>
        <w:br/>
        <w:t xml:space="preserve">RESOLUTION  </w:t>
        <w:br/>
        <w:t xml:space="preserve">FILE IBERDROLA / HGSA - MADE - EEAU  </w:t>
        <w:br/>
        <w:t xml:space="preserve">(C/1572/25)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Barcelona, on July 2, 2025</w:t>
      </w:r>
    </w:p>
    <w:p>
      <w:r>
        <w:t>The Competition Chamber has analyzed the concentration file processed in accordance with Law 15/2007, of July 3, on the Defense of Competition, regarding the economic concentration operation consisting of the acquisition by IBERDROLA RENOVABLES ENERGÍA, S.A.U., IBERDROLA REDES ESPAÑA, S.A.U., and IBERDROLA CLIENTES, S.A.U., of exclusive control of HIDROELÉCTRICA DEL GUADALOPE, S.A.U (HGSA), MAESTRAZGO DISTRIBUCIÓN ELÉCTRICA, S.L.U. (MADE), and ELECTRA ENERGÍA, S.A.U. (EESAU). In accordance with the report and proposal submitted by the Directorate of Competition, the Competition Chamber has resolved, under the application of Article 57.2.a) of the aforementioned Law 15/2007, of July 3, to authorize the aforementioned concentration operation, without prejudice to the obligation to communicate the acquisition of stakes in the energy sector in accordance with the Ninth Additional Provision of Law 3/2013, of June 4, on the creation of the National Commission of Markets and Competition.</w:t>
      </w:r>
    </w:p>
    <w:p>
      <w:r>
        <w:t>Likewise, in accordance with the principle of self-assessment, as stated in recital 21 of Regulation 139/2004 of the Council, of January 20, 2004, on the control of concentrations between companies and as established in the National Commission of Markets and Competition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of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