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https://www.cnmc.es/expedientes/c157425</w:t>
      </w:r>
    </w:p>
    <w:p>
      <w:r>
        <w:t>Pages translated : 2</w:t>
      </w:r>
    </w:p>
    <w:p/>
    <w:p>
      <w:r>
        <w:rPr>
          <w:b/>
        </w:rPr>
        <w:t>[Pages 1–2]</w:t>
      </w:r>
    </w:p>
    <w:p>
      <w:r>
        <w:t xml:space="preserve">C/1574/25  </w:t>
        <w:br/>
        <w:t xml:space="preserve">PELAYO / SLA / IMA / PRESTIMA  </w:t>
        <w:br/>
        <w:t xml:space="preserve">RESOLUTION  </w:t>
        <w:br/>
        <w:t xml:space="preserve">FILE PELAYO / SLA / IMA / PRESTIMA  </w:t>
        <w:br/>
        <w:t xml:space="preserve">(C/1574/25)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June 18, 2025</w:t>
      </w:r>
    </w:p>
    <w:p>
      <w:r>
        <w:t>The Competition Chamber has analyzed the concentration file processed in accordance with Law 15/2007, of July 3, on the Defense of Competition, regarding the economic concentration operation consisting of the transition from exclusive control over PRESTIMA S.L. (PRESTIMA) by IMA, S.A. (IMA) to joint control by that entity, together with Pelayo Mutua de Seguros y Reaseguros a Prima Fija (PELAYO) and Seguros Lagun Aro, S.A. (SLA). According to the report and proposal submitted by the Directorate of Competition, the Competition Chamber has resolved, in application of Article 57.2.a) of the aforementioned Law 15/2007, of July 3, to authorize the aforementioned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companies involved to determine to what extent in a concentration operation their agreements are ancillary to it. All this in accordance with what is indicated in the aforementioned report proposal of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