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https://www.cnmc.es/expedientes/c157925</w:t>
      </w:r>
    </w:p>
    <w:p>
      <w:r>
        <w:t>Pages translated : 8</w:t>
      </w:r>
    </w:p>
    <w:p/>
    <w:p>
      <w:r>
        <w:rPr>
          <w:b/>
        </w:rPr>
        <w:t>[Pages 1–3]</w:t>
      </w:r>
    </w:p>
    <w:p>
      <w:r>
        <w:t xml:space="preserve">C/1579/25  </w:t>
        <w:br/>
        <w:t xml:space="preserve">SALZILLO/LÁZARO SOTO  </w:t>
        <w:br/>
        <w:t xml:space="preserve">RESOLUTION  </w:t>
        <w:br/>
        <w:t xml:space="preserve">FILE SALZILLO/LÁZARO SOTO  </w:t>
        <w:br/>
        <w:t xml:space="preserve">(C/1579/25)  </w:t>
        <w:br/>
        <w:t xml:space="preserve">COUNCIL. COMPETITION CHAMBER  </w:t>
        <w:br/>
        <w:t xml:space="preserve">President  </w:t>
        <w:br/>
        <w:t xml:space="preserve">Ms. Cani Fernández Vicién  </w:t>
        <w:br/>
        <w:t xml:space="preserve">Counselors  </w:t>
        <w:br/>
        <w:t xml:space="preserve">Ms. Pilar Sánchez Núñez  </w:t>
        <w:br/>
        <w:t xml:space="preserve">Mr. Pere Soler Campins  </w:t>
        <w:br/>
        <w:t xml:space="preserve">Ms. María Vidales Picazo  </w:t>
        <w:br/>
        <w:t xml:space="preserve">Secretary of the Council  </w:t>
        <w:br/>
        <w:t xml:space="preserve">Mr. Miguel Bordiu García-Ovies  </w:t>
        <w:br/>
        <w:t xml:space="preserve">In Madrid, on December 22, 2025  </w:t>
        <w:br/>
        <w:t>The Competition Chamber of the National Commission on Markets and Competition, with the composition expressed, pursuant to Article 58 of Law 15/2007, of July 3, on the Defense of Competition (LDC), has issued a resolution in file C/1579/25 SALZILLO/LÁZARO SOTO, regarding the concentration operation consisting of the acquisition by Salzillo Servicios Funerarios, S.L., of exclusive control over Lázaro Soto, S.L. through the acquisition of all its share capital.</w:t>
      </w:r>
    </w:p>
    <w:p>
      <w:r>
        <w:t xml:space="preserve">1. BACKGROUND  </w:t>
        <w:br/>
        <w:t xml:space="preserve">(1) On June 20, 2025, a notification regarding the concentration operation consisting of the acquisition by Salzillo Servicios Funerarios, S.L. (SALZILLO), of exclusive control over Lázaro Soto, S.L. (LÁZARO SOTO) through the acquisition of all its share capital was received by the National Commission on Markets and Competition (CNMC).  </w:t>
        <w:br/>
        <w:t xml:space="preserve">(2) In accordance with Article 57.1 of Law 15/2007, of July 3, on the Defense of Competition (LDC), the Competition Directorate (DC) initiated a file and prepared the corresponding report on the operation along with a proposed resolution. On July 23, 2025, the CNMC Council issued a resolution in the first phase, in which it agreed to initiate the second phase of the procedure in accordance with Article 57.2.c) of the aforementioned Law, considering that the said concentration operation could hinder the maintenance of effective competition in all or some of the analyzed markets.  </w:t>
        <w:br/>
        <w:t xml:space="preserve">(3) Pursuant to Article 58.1 of the LDC, the DC prepared a brief note on the concentration which, on July 31, 2025, was made public on the CNMC's website and communicated to the notifying party, the Council of Consumers and Users, and third-party operators, so that they could submit their allegations within a period of 10 days.  </w:t>
        <w:br/>
        <w:t xml:space="preserve">(4) On July 29, 2025, in accordance with the provisions of Articles 58.1 of the LDC and Article 65.3 of the Competition Defense Regulation, approved by Royal Decree 261/2008, of February 22 (RDC), a mandatory report was requested from the Regional Service for Competition Defense of the Autonomous Community of the Region of Murcia, which was received by the CNMC on July 31, 2025.  </w:t>
        <w:br/>
        <w:t xml:space="preserve">(5) On the same July 29, pursuant to Articles 39.1, 55.5, and 55.6 of the LDC, the DC requested the notifying party and third parties for the necessary information for the proper assessment of the concentration.  </w:t>
        <w:br/>
        <w:t xml:space="preserve">(6) In accordance with Articles 37.1 b) and 37.2 b) of the LDC and 12.1 a) and d) of the RDC, on July 30, it was agreed that these actions would suspend the maximum period for resolving the reference procedure. On August 13, 2025, the last response to the requests made was received within the deadline. Thus, on August 14, 2025, in accordance with Article 12.2 of the RDC, it was agreed to lift the suspension and resume the calculation of the period.  </w:t>
        <w:br/>
        <w:t xml:space="preserve">(7) On August 13, 2025, the notifying party submitted allegations regarding the confidentiality of information included in the report and proposal (IP) prepared by the DC in accordance with Article 57.1 of the LDC, which were assessed in the statement of facts.  </w:t>
        <w:br/>
        <w:t xml:space="preserve">(8) In light of the responses obtained, on September 9, the DC requested new information from third parties necessary for the proper assessment of the concentration, pursuant to Articles 39.1 and 55.6 of the LDC, requests that suspended the maximum period for resolving the reference procedure, pursuant to the provisions of Article 37.1 b) of the LDC. On September 26, 2025, the last response to the aforementioned requests was received by the CNMC.  </w:t>
        <w:br/>
        <w:t xml:space="preserve">(9) Thus, on September 30, 2025, in accordance with Article 12.2 of the RDC, it was agreed to lift the suspension, resuming the calculation of the period from September 27, 2025.  </w:t>
        <w:br/>
        <w:t xml:space="preserve">(10) In application of Article 58.2 of the LDC, the DC prepared a statement of facts (PCH), where the possible obstacles to competition arising from the concentration were outlined, which was notified on October 6, 2025, to the notifying party, so that they could submit allegations within a period of 10 days. On October 22, 2025, the allegations submitted by the notifying party were received.  </w:t>
        <w:br/>
        <w:t xml:space="preserve">(11) On November 3, 2025, the notifying party submitted a proposal of commitments in accordance with the provisions of Article 59.1 of the LDC, to resolve the possible obstacles to maintaining effective competition that may arise from the analyzed concentration operation. Pursuant to the provisions of Article 59.2 of the LDC, the submission of such commitments extended the deadline for issuing and notifying a resolution in the second phase of the procedure by 15 days. This proposal was modified on November 20 and December 1.  </w:t>
        <w:br/>
        <w:t xml:space="preserve">(12) On December 5, 2025, the DC requested necessary information for the proper assessment of the concentration, pursuant to Articles 39.1 and 55.6 of the LDC, in relation to the duty of cooperation and information of individuals or legal entities and public bodies with the CNMC. In accordance with Articles 39.1 and 55.6 of the LDC, this action suspended the maximum period for resolving the reference procedure.  </w:t>
        <w:br/>
        <w:t xml:space="preserve">(13) On December 17, 2025, a new modification of commitments was submitted by the notifying party, and on December 19, an incomplete response to the last request for information made and reiterated to the company Tanatorio-Crematorio Piñero S.L. was received. On the same date, it was agreed to lift the suspension of the maximum period for resolving the operation.  </w:t>
        <w:br/>
        <w:t xml:space="preserve">(14) On December 19, 2025, the DC submitted its proposed report to the CNMC Council, in accordance with the provisions of Article 58 of Law 15/2007, of July 3, on the Defense of Competition.  </w:t>
        <w:br/>
        <w:t>(15) The Competition Chamber of the CNMC Council deliberated and ruled on the matter in its meeting on December 22, 2025.</w:t>
      </w:r>
    </w:p>
    <w:p>
      <w:r>
        <w:rPr>
          <w:b/>
        </w:rPr>
        <w:t>[Pages 4–6]</w:t>
      </w:r>
    </w:p>
    <w:p>
      <w:r>
        <w:t xml:space="preserve">C/1579/25  </w:t>
        <w:br/>
        <w:t xml:space="preserve">SALZILLO/LÁZARO SOTO  </w:t>
        <w:br/>
        <w:t xml:space="preserve">2. LEGAL BASIS  </w:t>
        <w:br/>
        <w:t xml:space="preserve">2.1. In accordance with Article 58.4 of the LDC, based on the final resolution proposal from the Competition Directorate, the Competition Chamber shall, in the second phase, make a decision in which it may: a) authorize the concentration; b) condition the authorization of the concentration on the fulfillment of certain commitments proposed by the notifying parties or conditions; c) prohibit the concentration; or d) agree to file the proceedings in the cases provided for in the Law.  </w:t>
        <w:br/>
        <w:t xml:space="preserve">2.2. In accordance with the provisions of Article 59 of the LDC, in order to resolve the obstacles to maintaining effective competition that may arise from the notified concentration operation, on November 3, 2025, the representative of the notifying party submitted a proposal of commitments under Article 59.1 of the LDC, in order to resolve the obstacles to maintaining effective competition that may arise from the analyzed concentration operation. The proposal consists of two commitments. This proposal was modified on November 20, December 1, and December 17, 2025. The commitments are as follows:  </w:t>
        <w:br/>
        <w:t xml:space="preserve">Commitment 1: MAPFRE will appoint, for a period of 5 years, extendable for another two years if agreed by the CNMC during the last three months of its initial validity, that is, during the last three months of the fifth year of the commitments, to Tanatorio Crematorio Piñero (new manager of Tanatorio Virgen de la Piedad) as the preferred provider of comprehensive funeral services for deceased insured in the municipality of Águilas, both for the direct provision of services and for the provision of the necessary wholesale services. However, the notifying party clarifies that:  </w:t>
        <w:br/>
        <w:t xml:space="preserve">• MAPFRE's insured will not be laid out in that funeral home if they choose to exercise their right to free choice.  </w:t>
        <w:br/>
        <w:t xml:space="preserve">• This commitment does not guarantee either a volume or a minimum number of services, as these will depend on the service needs of MAPFRE's insured in each area.  </w:t>
        <w:br/>
        <w:t xml:space="preserve">Commitment 2: SANTA LUCÍA will approve the installation of the Virgen de la Piedad funeral home in Águilas facilitating the provision of funeral services to its insured in that facility. The fact that a provider is approved by SANTA LUCÍA means that the provider has reached a tariff agreement with the insurer and meets minimum quality standards required by SANTA LUCÍA for the provision of funeral services to its insured. The duration of this commitment will be 5 years, extendable for two more years if agreed by the CNMC during the last three months of its initial validity, maintaining the approval beyond that date if the competitor provides services according to SANTA LUCÍA's quality standards and provided that a tariff agreement is reached.  </w:t>
        <w:br/>
        <w:t xml:space="preserve">Prior to the analysis of the sufficiency of the final commitments presented on December 2, 2025, to resolve the obstacles to effective competition posed by the operation, certain general considerations are made regarding the objectives of concentration control.  </w:t>
        <w:br/>
        <w:t xml:space="preserve">Article 59 of the LDC provides that when a concentration may give rise to obstacles to maintaining effective competition, the notifying parties, on their own initiative or at the request of the CNMC, may propose commitments to resolve them.  </w:t>
        <w:br/>
        <w:t xml:space="preserve">The LDC assigns to the Competition Directorate the competence to examine and evaluate these remedies and to the CNMC Council the competence to resolve on them, preserving the possibility for the CNMC to establish conditions if it is considered that the commitments presented are not adequate to resolve the identified competition problems.  </w:t>
        <w:br/>
        <w:t xml:space="preserve">This model allows for the safeguarding of competitive conditions in the market with maximum respect for the principles of proportionality and minimal intervention by the authority when conditioning concentration operations.  </w:t>
        <w:br/>
        <w:t xml:space="preserve">Regarding proportionality, it is important to remember that the possible commitments should not go beyond the problems caused by the notified operation, as their objective is not to redefine the structure of the companies or markets in order to resolve pre-existing or unrelated competition problems. However, this does not mean that pre-existing competition problems cannot be the subject of commitments to the extent that the concentration operation exacerbates them.  </w:t>
        <w:br/>
        <w:t xml:space="preserve">In general, it is preferable for the CNMC to opt for the commitments offered by the Notifying Party, as long as they are adequate, over the legal possibility of imposing conditions because, having been offered voluntarily, their execution and monitoring are facilitated.  </w:t>
        <w:br/>
        <w:t xml:space="preserve">Section 9 of the European Commission Communication on acceptable solutions in concentration operations states the following: “the commitments must entirely eliminate the competition problems and must be complete and effective from all points of view. On the other hand, the commitments must be capable of being effectively enforced in a short period, as the competitive conditions of the market will not be maintained until the commitments have been fulfilled.”  </w:t>
        <w:br/>
        <w:t xml:space="preserve">Assessment of the operation with the proposed commitments  </w:t>
        <w:br/>
        <w:t xml:space="preserve">The results of the market investigation carried out by the DC confirm that the operation presents risks to competition in the wholesale funeral home market in the municipality of Águilas as a consequence of the vertical relationship between the acquirer and the acquired.  </w:t>
        <w:br/>
        <w:t xml:space="preserve">Specifically, the risk of the expulsion of the only existing competitor (Tanatorio Virgen de la Piedad) in the wholesale funeral services market in the municipality of Águilas has been detected due to: (i) the high shares of the resulting entity in the affected market (44.4%) and in the vertically related market of death insurance in Murcia (30-40%); (ii) the high penetration rate of death insurance in Murcia (58%); (iii) the pre-existing commercial relationship between MAPFRE and the only competitor - all deceased insured by MAPFRE in the municipality were laid out in the competitor's funeral home - and (iv) the weight that MAPFRE's insured services represent in the competitor's client portfolio and revenue structure - more than 50%. These elements jeopardize the operational continuity of the only existing competitor in that market.  </w:t>
        <w:br/>
        <w:t xml:space="preserve">Furthermore, the adequacy, sufficiency, and proportionality of the final commitments presented by the notifying party have been analyzed, in order to assess whether they effectively eliminate the possible obstacles to competition posed by the notified concentration operation.  </w:t>
        <w:br/>
        <w:t xml:space="preserve">On one hand, regarding Commitment 1, it is considered that it resolves the operational continuity problem of the only competitor in the municipality, avoiding the risk of expulsion from the market, by facilitating continuity in its clientele. Likewise, the duration of 5 years, extendable, of the behavioral commitment could be sufficient for the competitor to adapt to the new competitive conditions, modifying its client portfolio.  </w:t>
        <w:br/>
        <w:t>On the other hand, concerning Commitment 2, the DC values the commitment as positive, as it facilitates the operational continuity of the only competitor in the market, contributing to the diversification of its client portfolio.</w:t>
      </w:r>
    </w:p>
    <w:p>
      <w:r>
        <w:rPr>
          <w:b/>
        </w:rPr>
        <w:t>[Pages 7–8]</w:t>
      </w:r>
    </w:p>
    <w:p>
      <w:r>
        <w:t xml:space="preserve">C/1579/25  </w:t>
        <w:br/>
        <w:t xml:space="preserve">SALZILLO/LÁZARO SOTO  </w:t>
        <w:br/>
        <w:t xml:space="preserve">For all these reasons, it is considered that, as a whole, the commitments presented adequately, sufficiently, and proportionately resolve the competition risks arising from the concentration.  </w:t>
        <w:br/>
        <w:t xml:space="preserve">2.3. After analyzing the Report and Proposal prepared by the Competition Directorate and in accordance with the aforementioned, this Chamber proposes to subordinate the present concentration C/1579/25 to the fulfillment of the commitments presented by Salzillo Servicios Funerarios, S.L.U. on December 17, 2025, which must be fulfilled by the notifying party.  </w:t>
        <w:br/>
        <w:t xml:space="preserve">2.4. In accordance with the principle of self-assessment, as set out in Recital 21 of Council Regulation (EC) No. 139/2004 of January 20, 2004, on the control of concentrations between undertakings and the Commission Communication on restrictions directly linked to the implementation of a concentration and necessary for that purpose, it is up to the affected companies themselves to determine to what extent their agreements are ancillary to a concentration operation.  </w:t>
        <w:br/>
        <w:t xml:space="preserve">Therefore, in view of the cited legal provisions and those of general application, the Competition Chamber of the National Commission on Markets and Competition  </w:t>
        <w:br/>
        <w:t xml:space="preserve">3. RESOLVES  </w:t>
        <w:br/>
        <w:t xml:space="preserve">First. In accordance with Article 58.4b) of Law 15/2007, of July 3, on the Defense of Competition, to subordinate the authorization of concentration C/1579/25 SALZILLO/LÁZARO SOTO to the fulfillment of the commitments presented by the notifying party on December 17, 2025, reproduced in Annex I and in this resolution.  </w:t>
        <w:br/>
        <w:t xml:space="preserve">Second. In accordance with the provisions of Article 58.6 of the LDC, this resolution shall be executive when any of the cases provided for in that article occur.  </w:t>
        <w:br/>
        <w:t xml:space="preserve">Third. The non-compliance with the provisions of this resolution shall be considered a very serious infringement as provided in Article 62.4.c) of the LDC.  </w:t>
        <w:br/>
        <w:t xml:space="preserve">Fourth. By virtue of the provisions of Article 35.2.c) of the LDC, the monitoring of this resolution is entrusted to the Competition Directorate.  </w:t>
        <w:br/>
        <w:t xml:space="preserve">This resolution shall be communicated to the Competition Directorate and to the Minister of Economy, Trade and Business, as provided in Article 58.5 of the LDC.  </w:t>
        <w:br/>
        <w:t xml:space="preserve">C/1579/25  </w:t>
        <w:br/>
        <w:t xml:space="preserve">SALZILLO/LÁZARO SOTO  </w:t>
        <w:br/>
        <w:t>Furthermore, it shall be notified to the interested parties, informing them that this resolution will not be effective, nor executive, nor will it conclude the administrative procedure unless one of the two cases provided for in letters a) or b) of Article 58.6 of the LDC occurs and that against it, if the administrative route is exhausted, a contentious-administrative appeal may be filed before the National Court within two months from the notification of the agreements or from the day on which the deadline for issuing them has elapsed, as provided in the aforementioned letters a) or b) of Article 58.6 of the LDC.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