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https://www.cnmc.es/expedientes/c158025</w:t>
      </w:r>
    </w:p>
    <w:p>
      <w:r>
        <w:t>Pages translated : 2</w:t>
      </w:r>
    </w:p>
    <w:p/>
    <w:p>
      <w:r>
        <w:rPr>
          <w:b/>
        </w:rPr>
        <w:t>[Pages 1–2]</w:t>
      </w:r>
    </w:p>
    <w:p>
      <w:r>
        <w:t xml:space="preserve">C/1580/25  </w:t>
        <w:br/>
        <w:t xml:space="preserve">FONSAGRADA / HOSPES  </w:t>
        <w:br/>
        <w:t xml:space="preserve">RESOLUTION  </w:t>
        <w:br/>
        <w:t xml:space="preserve">FILE FONSAGRADA / HOSPES  </w:t>
        <w:br/>
        <w:t xml:space="preserve">(C/1580/25)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Barcelona, on July 2, 2025  </w:t>
        <w:br/>
        <w:t xml:space="preserve">The Competition Chamber has analyzed the merger file processed in accordance with Law 15/2007, of July 3, on the Defense of Competition, concerning the economic concentration operation consisting of the transition from joint to exclusive control of FONSAGRADA S.L. (FONSAGRADA) over HOSPES HOTELES, S.L. and its subsidiaries (HOSPES). In accordance with the report and proposal submitted by the Competition Directorate, the Competition Chamber has resolved, applying Article 57.2.a) of the aforementioned Law 15/2007, of July 3, to authorize the said concentration operation.  </w:t>
        <w:br/>
        <w:t xml:space="preserve">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  </w:t>
        <w:br/>
        <w:t xml:space="preserve">National Commission of Markets and Competition 1 of 2  </w:t>
        <w:br/>
        <w:t xml:space="preserve">C/ Alcalá, 47 – 28014 Madrid - C/ Bolivia, 56 – 08018 Barcelona  </w:t>
        <w:br/>
        <w:t>www.cnmc.es</w:t>
      </w:r>
    </w:p>
    <w:p>
      <w:r>
        <w:t xml:space="preserve">C/1580/25  </w:t>
        <w:br/>
        <w:t xml:space="preserve">FONSAGRADA / HOSPES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