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https://www.cnmc.es/expedientes/c158225</w:t>
      </w:r>
    </w:p>
    <w:p>
      <w:r>
        <w:t>Pages translated : 2</w:t>
      </w:r>
    </w:p>
    <w:p/>
    <w:p>
      <w:r>
        <w:rPr>
          <w:b/>
        </w:rPr>
        <w:t>[Pages 1–2]</w:t>
      </w:r>
    </w:p>
    <w:p>
      <w:r>
        <w:t>C/1582/25 PE6 - INITIAL PARTNERS NEURAL / MENTALIA GROUP - NEURAL GROUP RESOLUTION FILE PE6 - INITIAL PARTNERS NEURAL / MENTALIA GROUP - NEURAL GROUP (C/1582/25) COUNCIL. COMPETITION CHAMBER President Ms. Cani Fernández Vicién Councilors Ms. Pilar Sánchez Núñez Mr. Rafael Iturriaga Nieva Mr. Pere Soler Campins Ms. María Vidales Picazo Secretary of the Council Mr. Miguel Bordiu Garcia-Ovies In Barcelona, on July 2, 2025 The Competition Chamber has analyzed the concentration file processed in accordance with Law 15/2007, of July 3, on the Defense of Competition, related to the economic concentration operation consisting of two interrelated operations in a single act. First, Neural Health Group, S.L. (NHG) acquires [90-100%] of the share capital of Asistencia Integral Personalizada, S.L.U., Casta Salud, S.L.U. and its subsidiaries (Mentalia Group). Second, PE6 S.à.r.l. (PE6) acquires [50-60%] of NHG [CONFIDENTIAL. As a result of both operations, PE6 and the Initial Partners of the Neural Group acquire joint control of Mentalia Group and Neural Group (NHG, its subsidiaries, and the Juan Ignacio Muñoz Bastide Foundation). In accordance with the report and proposal submitted by the Competition Directorate,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regarding the control of concentrations between companies and what is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 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