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https://www.cnmc.es/expedientes/c158425</w:t>
      </w:r>
    </w:p>
    <w:p>
      <w:r>
        <w:t>Pages translated : 2</w:t>
      </w:r>
    </w:p>
    <w:p/>
    <w:p>
      <w:r>
        <w:rPr>
          <w:b/>
        </w:rPr>
        <w:t>[Pages 1–2]</w:t>
      </w:r>
    </w:p>
    <w:p>
      <w:r>
        <w:t xml:space="preserve">C/1584/25  </w:t>
        <w:br/>
        <w:t xml:space="preserve">TEOFARMA / UCB PHARMA GMBH  </w:t>
        <w:br/>
        <w:t xml:space="preserve">RESOLUTION  </w:t>
        <w:br/>
        <w:t xml:space="preserve">FILE TEOFARMA / UCB PHARMA GMBH  </w:t>
        <w:br/>
        <w:t xml:space="preserve">(C/1584/25)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July 23, 2025</w:t>
      </w:r>
    </w:p>
    <w:p>
      <w:r>
        <w:t>The Competition Chamber has analyzed the merger file processed in accordance with Law 15/2007, of July 3, on the Defense of Competition, related to the economic concentration operation consisting of the acquisition by TEOFARMA S.r.L (TEOFARMA) of exclusive control over certain assets owned by UCB PHARMA GMBH and other entities of the UCB group (UCB). According to the report and the proposal submitted by the Directorate of Competition,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C/1584/25  </w:t>
        <w:br/>
        <w:t xml:space="preserve">TEOFARMA / UCB PHARMA GMBH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