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https://www.cnmc.es/expedientes/c158625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C/1586/25  </w:t>
        <w:br/>
        <w:t xml:space="preserve">RIBALTA PUJOL / FIASA / CALAF / GRUP / GRUPO PUJOL /  </w:t>
        <w:br/>
        <w:t xml:space="preserve">FORMIGONS.CAT JV  </w:t>
        <w:br/>
        <w:t xml:space="preserve">RESOLUTION  </w:t>
        <w:br/>
        <w:t xml:space="preserve">FILE RIBALTA PUJOL / FIASA / CALAF / GRUP / GRUPO  </w:t>
        <w:br/>
        <w:t xml:space="preserve">PUJOL / FORMIGONS.CAT JV  </w:t>
        <w:br/>
        <w:t xml:space="preserve">(C/1586/25)  </w:t>
        <w:br/>
        <w:t xml:space="preserve">COUNCIL. COMPETITION CHAMBER  </w:t>
        <w:br/>
        <w:t xml:space="preserve">President  </w:t>
        <w:br/>
        <w:t xml:space="preserve">Ms. Cani Fernández Vicién  </w:t>
        <w:br/>
        <w:t xml:space="preserve">Counselors  </w:t>
        <w:br/>
        <w:t xml:space="preserve">Ms. Pilar Sánchez Núñez  </w:t>
        <w:br/>
        <w:t xml:space="preserve">Mr. Rafael Iturriaga Nieva  </w:t>
        <w:br/>
        <w:t xml:space="preserve">Mr. Pere Soler Campins  </w:t>
        <w:br/>
        <w:t xml:space="preserve">Ms. María Vidales Picazo  </w:t>
        <w:br/>
        <w:t xml:space="preserve">Secretary of the Council  </w:t>
        <w:br/>
        <w:t xml:space="preserve">Ms. María Ángeles Rodríguez Paraja  </w:t>
        <w:br/>
        <w:t xml:space="preserve">In Madrid, on October 1, 2025  </w:t>
        <w:br/>
        <w:t xml:space="preserve">The Competition Chamber has analyzed the concentration file processed  </w:t>
        <w:br/>
        <w:t xml:space="preserve">in accordance with Law 15/2007, of July 3, on the Defense of Competition,  </w:t>
        <w:br/>
        <w:t xml:space="preserve">regarding the economic concentration operation consisting of the acquisition  </w:t>
        <w:br/>
        <w:t xml:space="preserve">of joint control by Ribalta Pujol, S.L. (RIBALTA PUJOL), Fiasa Mix,  </w:t>
        <w:br/>
        <w:t xml:space="preserve">S.A. (FIASA), Calaf Grup 1964, S.L. (CALAF GRUP) and GUALTOSAL, S.L.  </w:t>
        <w:br/>
        <w:t xml:space="preserve">(GUALTOSAL) of the JV Formigons Centre d’Abastiment i Transport, S.L.  </w:t>
        <w:br/>
        <w:t xml:space="preserve">(FORMIGONS.CAT or JV), which will concentrate the management and joint operation of  </w:t>
        <w:br/>
        <w:t xml:space="preserve">fifteen production plants of fresh concrete. In accordance with the report and the  </w:t>
        <w:br/>
        <w:t xml:space="preserve">proposal submitted by the Competition Directorate, the Competition Chamber  </w:t>
        <w:br/>
        <w:t xml:space="preserve">has resolved, applying Article 57.2.b) of the aforementioned Law 15/2007, of  </w:t>
        <w:br/>
        <w:t xml:space="preserve">July 3, to authorize the aforementioned concentration operation subject to the  </w:t>
        <w:br/>
        <w:t xml:space="preserve">commitments presented.  </w:t>
        <w:br/>
        <w:t xml:space="preserve">Likewise, in accordance with the principle of self-assessment, as stated in  </w:t>
        <w:br/>
        <w:t xml:space="preserve">recital 21 of Regulation 139/2004 of the Council, of January 20, 2004,  </w:t>
        <w:br/>
        <w:t xml:space="preserve">on the control of concentrations between companies and as established in the  </w:t>
        <w:br/>
        <w:t xml:space="preserve">Commission Communication on restrictions directly linked to  </w:t>
        <w:br/>
        <w:t xml:space="preserve">the execution of a concentration and necessary for that purpose (2005/C 56/03),  </w:t>
        <w:br/>
        <w:t xml:space="preserve">it is up to the affected companies to determine to what extent in a  </w:t>
        <w:br/>
        <w:t xml:space="preserve">concentration operation their agreements are ancillary to it. All of this in  </w:t>
        <w:br/>
        <w:t xml:space="preserve">accordance with what is indicated in the aforementioned report proposal from the  </w:t>
        <w:br/>
        <w:t xml:space="preserve">Competition Directorate.  </w:t>
        <w:br/>
        <w:t xml:space="preserve">This Resolution shall be communicated to the Competition Directorate of the  </w:t>
        <w:br/>
        <w:t xml:space="preserve">National Commission on Markets and Competition and notified to the interested party,  </w:t>
        <w:br/>
        <w:t xml:space="preserve">informing them that it concludes the administrative procedure and that a  </w:t>
        <w:br/>
        <w:t xml:space="preserve">contentious-administrative appeal may be filed against it before the  </w:t>
        <w:br/>
        <w:t xml:space="preserve">National Court, within two months from the day following its  </w:t>
        <w:br/>
        <w:t xml:space="preserve">notification.  </w:t>
        <w:br/>
        <w:t>National Commission on Markets and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