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https://www.cnmc.es/expedientes/c159125</w:t>
      </w:r>
    </w:p>
    <w:p>
      <w:r>
        <w:t>Pages translated : 2</w:t>
      </w:r>
    </w:p>
    <w:p/>
    <w:p>
      <w:r>
        <w:rPr>
          <w:b/>
        </w:rPr>
        <w:t>[Pages 1–2]</w:t>
      </w:r>
    </w:p>
    <w:p>
      <w:r>
        <w:t xml:space="preserve">C/1591/25  </w:t>
        <w:br/>
        <w:t xml:space="preserve">NIDO/LIVENSA  </w:t>
        <w:br/>
        <w:t xml:space="preserve">RESOLUTION  </w:t>
        <w:br/>
        <w:t xml:space="preserve">FILE NIDO/LIVENSA  </w:t>
        <w:br/>
        <w:t xml:space="preserve">(C/1591/25)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July 23, 2025</w:t>
      </w:r>
    </w:p>
    <w:p>
      <w:r>
        <w:t>The Competition Chamber has analyzed the merger file processed in accordance with Law 15/2007, of July 3, on the Defense of Competition, concerning the economic concentration operation consisting of the acquisition by Nido UK Holdco Limited (NIDO) of exclusive control over Livensa Living (LIVENSA). In accordance with the report and proposal submitted by the Competition Directorate, the Competition Chamber has resolved, in application of Article 57.2.a) of the aforementioned Law 15/2007, of July 3, to authorize the said concentration operation.</w:t>
      </w:r>
    </w:p>
    <w:p>
      <w:r>
        <w:t>Likewise, in accordance with the principle of self-assessment, as set forth in recital 21 of Council Regulation 139/2004, of January 20, 2004, on the control of concentrations between undertakings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C/1591/25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