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https://www.cnmc.es/expedientes/c159225</w:t>
      </w:r>
    </w:p>
    <w:p>
      <w:r>
        <w:t>Pages translated : 2</w:t>
      </w:r>
    </w:p>
    <w:p/>
    <w:p>
      <w:r>
        <w:rPr>
          <w:b/>
        </w:rPr>
        <w:t>[Pages 1–2]</w:t>
      </w:r>
    </w:p>
    <w:p>
      <w:r>
        <w:t xml:space="preserve">C/1592/25  </w:t>
        <w:br/>
        <w:t xml:space="preserve">NAZCA-HERZOG / GRUPO JSV  </w:t>
        <w:br/>
        <w:t xml:space="preserve">RESOLUTION  </w:t>
        <w:br/>
        <w:t xml:space="preserve">FILE NAZCA-HERZOG / GRUPO JSV  </w:t>
        <w:br/>
        <w:t xml:space="preserve">(C/1592/25)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July 23, 2025  </w:t>
        <w:br/>
        <w:t xml:space="preserve">The Competition Chamber has analyzed the concentration file processed in accordance with Law 15/2007, of July 3, on the Defense of Competition, regarding the economic concentration operation consisting of the acquisition by NAZCA CAPITAL S.G.E.I.C., S.A. (NAZCA) and Mr. Antonio Herzog Herzog, Ms. Sonia Herzog Sáenz de Samaniego, Ms. Verónica Herzog Sáenz de Samaniego, Mr. Jonatan Herzog Sáenz de Samaniego and HERZOG GLOBAL INVESTMENTS, S.L. (HERZOG) (jointly, INITIAL PARTNERS), of the joint control of JSV LOGISTIC, S.L., DELFIN LINES CANARIAS, S.A., NENUFAR SHIPPING, S.L., and NAVIERTA TAMARÁN, S.A. (the ACQUIRED).  </w:t>
        <w:br/>
        <w:t xml:space="preserve">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