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https://www.cnmc.es/expedientes/c160225</w:t>
      </w:r>
    </w:p>
    <w:p>
      <w:r>
        <w:t>Pages translated : 2</w:t>
      </w:r>
    </w:p>
    <w:p/>
    <w:p>
      <w:r>
        <w:rPr>
          <w:b/>
        </w:rPr>
        <w:t>[Pages 1–2]</w:t>
      </w:r>
    </w:p>
    <w:p>
      <w:r>
        <w:t xml:space="preserve">C/1602/25  </w:t>
        <w:br/>
        <w:t xml:space="preserve">OPDE FOTO / ACCIONA ENERGY ASSETS  </w:t>
        <w:br/>
        <w:t xml:space="preserve">RESOLUTION  </w:t>
        <w:br/>
        <w:t xml:space="preserve">FILE OPDE FOTO / ACCIONA ENERGY ASSETS  </w:t>
        <w:br/>
        <w:t xml:space="preserve">(C/1602/25)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October 16, 2025</w:t>
      </w:r>
    </w:p>
    <w:p>
      <w:r>
        <w:t>The Competition Chamber has analyzed the concentration file processed in accordance with Law 15/2007, of July 3, on the Defense of Competition, related to the economic concentration operation consisting of the acquisition of exclusive control of a portfolio of thirteen (13) wind generation parks (and subsequent hybrid use of photovoltaic generation) owned by six (6) companies of ACCIONA RENEWABLE ENERGIES, S.A., by the company OTRAS PRODUCCIONES DE ENERGÍA FOTOVOLTAICA, S.L.U (OPDE FOTO), belonging to the OPDENERGY GROUP. In accordance with the report and proposal submitted by the Competition Directorate, the Competition Chamber has resolved, under the application of Article 57.2.a) of the aforementioned Law 15/2007, of July 3, to authorize the aforementioned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In this operation, there are no ancillary restriction clauses, but rather agreements for extensions of technical services, as well as operation and maintenance, and a general confidentiality agreement.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