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https://www.cnmc.es/expedientes/c160825</w:t>
      </w:r>
    </w:p>
    <w:p>
      <w:r>
        <w:t>Pages translated : 10</w:t>
      </w:r>
    </w:p>
    <w:p/>
    <w:p>
      <w:r>
        <w:rPr>
          <w:b/>
        </w:rPr>
        <w:t>[Pages 1–3]</w:t>
      </w:r>
    </w:p>
    <w:p>
      <w:r>
        <w:t xml:space="preserve">C/1608/25  </w:t>
        <w:br/>
        <w:t xml:space="preserve">BALEARIA / ACTIVOS ARMAS CANARIAS  </w:t>
        <w:br/>
        <w:t xml:space="preserve">RESOLUTION  </w:t>
        <w:br/>
        <w:t xml:space="preserve">FILE BALEARIA / ACTIVOS ARMAS CANARIAS  </w:t>
        <w:br/>
        <w:t xml:space="preserve">(C/1608/25)  </w:t>
        <w:br/>
        <w:t xml:space="preserve">COUNCIL. COMPETITION CHAMBER  </w:t>
        <w:br/>
        <w:t xml:space="preserve">President  </w:t>
        <w:br/>
        <w:t xml:space="preserve">Ms. Cani Fernández Vicién  </w:t>
        <w:br/>
        <w:t xml:space="preserve">Counselors  </w:t>
        <w:br/>
        <w:t xml:space="preserve">Mr. Rafael Iturriaga Nieva  </w:t>
        <w:br/>
        <w:t xml:space="preserve">Mr. Pere Soler Campins  </w:t>
        <w:br/>
        <w:t xml:space="preserve">Ms. María Vidales Picazo  </w:t>
        <w:br/>
        <w:t xml:space="preserve">Secretary of the Council  </w:t>
        <w:br/>
        <w:t xml:space="preserve">Mr. Miguel Bordiu García-Ovies  </w:t>
        <w:br/>
        <w:t xml:space="preserve">In Madrid, on March 27, 2026  </w:t>
        <w:br/>
        <w:t xml:space="preserve">The Competition Chamber of the National Commission on Markets and Competition, with the composition expressed, pursuant to Article 58 of Law 15/2007, of July 3, on the Defense of Competition (LDC), has issued a resolution in file C/1608/25 BALEARIA/ACTIVOS ARMAS CANARIAS, regarding the concentration operation consisting of the acquisition by GESTIÓN NAVIERA, S.L., the parent company of the BALEARIA GROUP (BALEARIA), of exclusive control over certain assets of the ARMAS – TRASMEDITERRÁNEA Group (ARMAS) for the operation of the Peninsula – Canary Islands route and the inter-island Canary traffic.  </w:t>
        <w:br/>
        <w:t xml:space="preserve">National Commission on Markets and Competition 1 of 10  </w:t>
        <w:br/>
        <w:t xml:space="preserve">C/ Alcalá, 47 – 28014 Madrid - C/ Bolivia, 56 – 08018 Barcelona  </w:t>
        <w:br/>
        <w:t>www.cnmc.es</w:t>
      </w:r>
    </w:p>
    <w:p>
      <w:r>
        <w:t xml:space="preserve">C/1608/25  </w:t>
        <w:br/>
        <w:t xml:space="preserve">BALEARIA / ACTIVOS ARMAS CANARIAS  </w:t>
        <w:br/>
        <w:t xml:space="preserve">1. BACKGROUND  </w:t>
        <w:br/>
        <w:t xml:space="preserve">(1) On October 8, 2025, the notification of the concentration was submitted to the National Commission on Markets and Competition (CNMC), consisting of the acquisition by GESTIÓN NAVIERA, S.L., the parent company of the BALEARIA GROUP (BALEARIA), of exclusive control over certain assets of the ARMAS – TRASMEDITERRÁNEA Group (ARMAS) for the operation of the Peninsula – Canary Islands route and the inter-island Canary traffic.  </w:t>
        <w:br/>
        <w:t xml:space="preserve">(2) During the first phase of the file, the Competition Directorate (DC) made the following information requests:  </w:t>
        <w:br/>
        <w:t xml:space="preserve">(3)  </w:t>
        <w:br/>
        <w:t xml:space="preserve">Table 1. Information requests  </w:t>
        <w:br/>
        <w:t xml:space="preserve">Date Entities requested  </w:t>
        <w:br/>
        <w:t xml:space="preserve">GESTIÓN NAVIERA, S.L.  </w:t>
        <w:br/>
        <w:t xml:space="preserve">October 10, 2025  </w:t>
        <w:br/>
        <w:t xml:space="preserve">(BALEARIA)  </w:t>
        <w:br/>
        <w:t xml:space="preserve">Directorate General of the Navy  </w:t>
        <w:br/>
        <w:t xml:space="preserve">October 17, 2025 –  </w:t>
        <w:br/>
        <w:t xml:space="preserve">Merchant Marine (DGMM), Port Authorities, competing shipping companies  </w:t>
        <w:br/>
        <w:t xml:space="preserve">October 20, 2025  </w:t>
        <w:br/>
        <w:t xml:space="preserve">Port Authority of Santa Cruz  </w:t>
        <w:br/>
        <w:t xml:space="preserve">November 20, 2025  </w:t>
        <w:br/>
        <w:t xml:space="preserve">Tenerife  </w:t>
        <w:br/>
        <w:t xml:space="preserve">(4) On November 26, 2025, the notifying party submitted a proposal of commitments, in accordance with the provisions of Article 59.1 of the LDC, to resolve the possible obstacles to maintaining effective competition that may arise from the analyzed concentration operation. By virtue of the provisions of Article 59.2 of the LDC, the submission of these commitments extended the deadline for issuing and notifying a resolution in the first phase of the procedure by 10 days.  </w:t>
        <w:br/>
        <w:t xml:space="preserve">(5) In accordance with Article 57.1 of Law 15/2007, of July 3, on the Defense of Competition (LDC), the DC formed a file and prepared the corresponding report on the operation along with a resolution proposal. The Council of the CNMC issued a resolution on December 22, 2025, in which it agreed to initiate the second phase of the procedure in accordance with Article 57.2.c) of the aforementioned Law, considering that the said concentration operation could hinder the maintenance of effective competition in all or some of the analyzed markets.  </w:t>
        <w:br/>
        <w:t xml:space="preserve">(6) On December 23, 2025, the Competition Directorate, in accordance with the provisions of Articles 39.1 and 55.5 of the LDC, requested the notifying party for the necessary information to resolve the file. In accordance with Article 37.2.b) of the LDC, these actions suspended the resolution deadline until their effective compliance.  </w:t>
        <w:br/>
        <w:t xml:space="preserve">(7) In application of Article 58.1 of the LDC, the DC prepared a brief note on the concentration which, on December 29, 2025, was made public on the CNMC website, and on January 2, 2026, was communicated to the individuals or legal entities that could be affected and to the Council of Consumers and Users, so that they could submit their allegations within a period of 10 days.  </w:t>
        <w:br/>
        <w:t xml:space="preserve">(8) On February 23, 2026, the DC prepared a statement of facts (PCH), in application of Article 58.2 of the LDC, which included the possible obstacles to competition arising from the concentration, notified on that same date to the interested parties so that they could submit allegations within a period of 10 days. On March 9, 2026, allegations were received from GESTIÓN NAVIERA, S.L. (BALEARIA).  </w:t>
        <w:br/>
        <w:t xml:space="preserve">(9) On March 9, 2026, the notifying party submitted a new proposal of commitments in accordance with the provisions of Article 59 of the LDC. This proposal of commitments was supplemented with two subsequent versions on March 20, 2026, and March 26, 2026.  </w:t>
        <w:br/>
        <w:t xml:space="preserve">(10) On March 26, 2026, the DC submitted its proposal report (IP) to the Council of the CNMC, in accordance with the provisions of Article 58 of Law 15/2007, of July 3, on the Defense of Competition.  </w:t>
        <w:br/>
        <w:t xml:space="preserve">(11) The Competition Chamber of the Council of the CNMC deliberated and ruled on the matter in its meeting of March 27, 2026.  </w:t>
        <w:br/>
        <w:t xml:space="preserve">National Commission on Markets and Competition 3 of 10  </w:t>
        <w:br/>
        <w:t xml:space="preserve">C/ Alcalá, 47 – 28014 Madrid - C/ Bolivia, 56 – 08018 Barcelona  </w:t>
        <w:br/>
        <w:t>www.cnmc.es</w:t>
      </w:r>
    </w:p>
    <w:p>
      <w:r>
        <w:rPr>
          <w:b/>
        </w:rPr>
        <w:t>[Pages 4–6]</w:t>
      </w:r>
    </w:p>
    <w:p>
      <w:r>
        <w:t xml:space="preserve">C/1608/25  </w:t>
        <w:br/>
        <w:t>BALEARIA / ACTIVOS ARMAS CANARIAS</w:t>
      </w:r>
    </w:p>
    <w:p>
      <w:r>
        <w:t>2. LEGAL BASIS</w:t>
      </w:r>
    </w:p>
    <w:p>
      <w:r>
        <w:t>2.1. In accordance with Article 58.4 of the LDC, based on the final resolution proposal from the Competition Directorate, the Competition Chamber shall, in the second phase, make a decision in which it may: a) authorize the concentration; b) condition the authorization of the concentration on the fulfillment of certain commitments proposed by the notifying parties or conditions; c) prohibit the concentration; or d) agree to file the proceedings in the cases provided for in the Law.</w:t>
      </w:r>
    </w:p>
    <w:p>
      <w:r>
        <w:t>2.2. In accordance with the provisions of Article 59 of the LDC, in order to resolve the obstacles to maintaining effective competition that may arise from the notified concentration operation, on November 26, 2025, BALEARIA submitted an initial proposal of commitments, in accordance with the provisions of Article 59 of the LDC and Article 60 of the RDC. This proposal was subsequently modified, with the final version submitted on March 26, 2026, which introduces a series of improvements compared to the previous proposal dated November 26, 2025.</w:t>
      </w:r>
    </w:p>
    <w:p>
      <w:r>
        <w:t xml:space="preserve">The final proposal of commitments is outlined below:  </w:t>
        <w:br/>
        <w:t>BALEARIA proposes (already in the first proposal of commitments and also in the one from March 26) the dissolution of the community of goods through which it currently operates the Huelva – Canary Islands route, in collaboration with the shipping company Fred Olsen, and to transfer to this company the operating licenses for the committed routes, although there would be no divestment of the ships (two currently) that operate on that line, owned by BALEARIA.</w:t>
      </w:r>
    </w:p>
    <w:p>
      <w:r>
        <w:t>The dissolution of the community of goods would have automatic effects from the moment the acquisition of ARMAS's business in the Canary Islands by Balearia becomes effective, conditioned upon the authorization of the concentration by the CNMC.</w:t>
      </w:r>
    </w:p>
    <w:p>
      <w:r>
        <w:t>BALEARIA also offers a transitional period for one of the ships currently operating the route (the “Marie Curie”), which would be chartered to Fred Olsen, to maintain operations and give this shipping company time to seek alternatives to continue providing services on the route with its own or chartered means (Fred Olsen has already acknowledged that it has its own means to handle this route, specifically the ship it has acquired “Buenavista Express,” which is being prepared and ready to begin operations). The commitment also includes other ancillary assets that BALEARIA would transfer to Fred Olsen, such as authorizations and/or rentals of offices and means necessary to service the route, as well as temporarily the use of the ticket sales platform that the community of goods used until its dissolution (until April 30, at which point Fred Olsen would have its own platform ready).</w:t>
      </w:r>
    </w:p>
    <w:p>
      <w:r>
        <w:t>The duration of this commitment (specifically those that involve a transitional period after the dissolution of the community of goods) would be until April 2026, at which point Fred Olsen would begin to operate independently at the port of Huelva.</w:t>
      </w:r>
    </w:p>
    <w:p>
      <w:r>
        <w:t>This commitment, which was already sent to the DC in November 2025, has been completed, in the new proposal submitted on March 26, 2026, with several additional commitments, aimed at resolving the competition issues identified by the DC, both in the IP for moving to the second phase and in the PCH.</w:t>
      </w:r>
    </w:p>
    <w:p>
      <w:r>
        <w:t>Firstly, BALEARIA commits not to reach horizontal agreements with effects equivalent to those reached in the community of goods with Fred Olsen in 2018, with any shipping company that operates or may operate the Peninsula – Canary Islands routes (commitment to independence and autonomy).</w:t>
      </w:r>
    </w:p>
    <w:p>
      <w:r>
        <w:t>On the other hand, BALEARIA commits to maintaining the conditions prior to the operation regarding frequencies and quality of service, specifically: (i) to perform at least the same round trips in passenger and freight transport on the Peninsula – Canary Islands route that ARMAS was offering (3 weekly frequencies); (ii) to maintain the levels of service quality in effect before the operation on the Peninsula – Canary Islands routes, matching those standards with the services that ARMAS was providing; it establishes objective performance indicators (KPI) in different variables verifiable by the CNMC; (iii) to maintain current capacities for both the Peninsula – Canary Islands routes and the inter-island area; and (iv) to periodically submit to the CNMC a report on the prices that BALEARIA offers on the Peninsula – Canary Islands routes for price supervision.</w:t>
      </w:r>
    </w:p>
    <w:p>
      <w:r>
        <w:t>BALEARIA has offered additional commitments to those stated: (i) commitment to investment, maintaining the acquired fleet in adequate conditions of safety, maintenance, and quality of service, and additionally an investment to modernize said fleet for an amount exceeding [CONFIDENTIAL] million euros annually during the first 3 years following the execution of the operation; (ii) commitment to modernization and improvement of the passenger experience; (iii) commitment to environmental sustainability and energy transition, applying to the acquired fleet the standards that BALEARIA applies to its own fleet in compliance with GRI (Global Reporting Initiative) indicators; (iv) commitment to strengthening corporate culture, with BALEARIA committing to implement a compliance program and training in competition matters for executives and employees; (v) commitment to reactivating the operation of the Morro Jable – Las Palmas maritime route (Fuerteventura – Gran Canaria) and maintaining current routes in the inter-island area; and (vi) commitment to maintaining the entire workforce from ARMAS, as well as maintaining the Spanish flag on the acquired ships.</w:t>
      </w:r>
    </w:p>
    <w:p>
      <w:r>
        <w:t>Finally, BALEARIA commits to appoint an independent supervisor (with the approval of the CNMC) to verify compliance with the commitments presented and communicate their respective reports to the CNMC, which will be submitted annually, within the first two months following the end of each fiscal year. The overall duration of the commitments presented will be 3 years from the authorization of the notified operation.</w:t>
      </w:r>
    </w:p>
    <w:p>
      <w:r>
        <w:t xml:space="preserve">Assessment of the operation with the proposed commitments  </w:t>
        <w:br/>
        <w:t>The operation would generate risks in the regular maritime transport market between Peninsula-Canarias, which may materialize in a loss of quality, an increase in prices, and/or a reduction in transport frequency. Furthermore, the operation would generate risks in competition "for the market," as the operation eliminates one of the two actors that had been competing to provide this service, nullifying the dynamic effect of competition for the market observed in the last tender of 2022.</w:t>
      </w:r>
    </w:p>
    <w:p>
      <w:r>
        <w:t>The adequacy, sufficiency, and proportionality of the final commitments presented by the notifying party have been analyzed, in order to assess whether they effectively eliminate the possible obstacles to competition that the notified concentration operation poses.</w:t>
      </w:r>
    </w:p>
    <w:p>
      <w:r>
        <w:t>In this commitment, various improvements are included aimed at raising the quality of service that ARMAS was providing and bringing the quality standards closer to those in effect for BALEARIA's ships, such as offering advanced internet connectivity, implementing various online booking management systems, fast digital boarding or EasyPass, apps for ship drivers, a portal for cargo customers, improvements in the control tower, remodeling and improving sales ticket offices, and strengthening the onboard entertainment offering, among others.</w:t>
      </w:r>
    </w:p>
    <w:p>
      <w:r>
        <w:t>In the case of the reactivation of the Morro Jable – Gran Canaria route, this will be carried out as soon as possible from the authorization of the operation, while for the transitional period related to the commitment to dissolve the community of goods with Fred Olsen, the term of that commitment will be until April 30, 2026.</w:t>
      </w:r>
    </w:p>
    <w:p>
      <w:r>
        <w:rPr>
          <w:b/>
        </w:rPr>
        <w:t>[Pages 7–9]</w:t>
      </w:r>
    </w:p>
    <w:p>
      <w:r>
        <w:t xml:space="preserve">C/1608/25  </w:t>
        <w:br/>
        <w:t xml:space="preserve">BALEARIA / ACTIVOS ARMAS CANARIAS  </w:t>
        <w:br/>
        <w:t xml:space="preserve">As concluded in the IP for the transition to the second phase and in the PCH, the structural commitment presented by BALEARIA through which it dissolves the community of goods, transferring to Fred Olsen the necessary assets to operate the Huelva-Canarias route (except for the ships), prevents the modification of the structure of the offer resulting from the operation, so that the pre-existing competition conditions would not be altered, as the market will continue to have two operators [BALEARIA with public service obligations (OSP) and Fred Olsen without OSP], each holding shares analogous to those prior to the operation. In this way, the identified unilateral risks could disappear in a scenario where two competitors would operate again.  </w:t>
        <w:br/>
        <w:t xml:space="preserve">Furthermore, it should be considered that the OSP in the Canary Islands maintain maximum rates throughout the year, including holiday periods, regulating possible price increases in that area, as well as the conditions of provision.  </w:t>
        <w:br/>
        <w:t xml:space="preserve">Therefore, the price monitoring measures included in the latest proposal are considered sufficient and will enable the CNMC to supervise that there are no anomalies in the prices applied by the resulting entity, for a sufficient period of time (3 years).  </w:t>
        <w:br/>
        <w:t xml:space="preserve">Within the framework of the PCH, it was concluded that the operation could increase the risk of coordinated effects, compared to the scenario prior to the operation, due to the concurrence of the following elements: (i) the transparency regarding prices that exists in the analyzed markets; (ii) the existence of a prior alliance between Fred Olsen and BALEARIA for more than 6 years; (iii) the simultaneous entry of BALEARIA into the inter-island Canary market, where Fred Olsen was already operating; (iv) the negligible or limited capacity for reaction from third parties, both potential competitors and customers.  </w:t>
        <w:br/>
        <w:t xml:space="preserve">However, BALEARIA has insisted in its allegations to the PCH that the DC has not proven the existence of risks of coordinated effects, and also points out that the defense of competition is not guaranteed by replacing the monitoring work with the preventive denial of an operation.  </w:t>
        <w:br/>
        <w:t xml:space="preserve">But, precisely, this is the task of the CNMC through the analysis of concentrations, to eliminate ex ante risks to the functioning of the markets, which is perfectly compatible with the exercise of market supervision and ex post intervention. And this task is what justifies that the DC has deemed necessary measures that hinder potential coordinated behavior.  </w:t>
        <w:br/>
        <w:t xml:space="preserve">C/1608/25  </w:t>
        <w:br/>
        <w:t xml:space="preserve">BALEARIA / ACTIVOS ARMAS CANARIAS  </w:t>
        <w:br/>
        <w:t xml:space="preserve">These measures, presented on March 26, 2026, directly and effectively address the risks identified by the DC.  </w:t>
        <w:br/>
        <w:t xml:space="preserve">Specifically, regarding the risk of loss of quality and/or frequencies, BALEARIA has presented a set of commitments that are adequate to eliminate this risk, as it guarantees both the quality standards that were being offered before the concentration operation, as well as the current frequencies and the capacities of the ships that are currently operating.  </w:t>
        <w:br/>
        <w:t xml:space="preserve">These elements, in practice, prevent any potential coordination on additional elements beyond those required by OSP, to minimize the quality, frequencies, or capacity available to customers, and serve as a disciplining element for its competitor, as it establishes minimum standards in the market towards which it must strive if it intends to take customers from BALEARIA and compete effectively.  </w:t>
        <w:br/>
        <w:t xml:space="preserve">BALEARIA has presented a series of additional measures that not only guarantee that the operation does not modify the conditions of provision prior to the operation, such as commitments to investment and improvement of user experience, but also aim to improve, in the medium term, the quality of the service currently provided. Likewise, beyond the necessary unaltered maintenance of the situation prior to the operation, the commitment to reactivate the Morro Jable – Gran Canaria route, which ARMAS had ceased to operate, is included.  </w:t>
        <w:br/>
        <w:t xml:space="preserve">Other measures have also been included, which go beyond the pure scope of competition defense, but which are positive in terms of employment or sustainability, such as the commitment to maintain the workforce of ARMAS after the operation, or the commitment to extend the GRI standards that BALEARIA applies to its fleet to the assets acquired through this operation.  </w:t>
        <w:br/>
        <w:t xml:space="preserve">The 3-year period is considered sufficient to allow Fred Olsen to establish itself on these routes, effectively competing with BALEARIA and maintaining the pre-concentration situation in the medium and long term. In fact, BALEARIA has reported an increase in competition exerted by Fred Olsen in the inter-island Canary area, reflected in a notable increase in market share in recent months compared to ARMAS.  </w:t>
        <w:br/>
        <w:t xml:space="preserve">Therefore, the authorization subject to the commitments presented by BALEARIA (i) guarantees that the risks detected by the DC in its analysis are effectively resolved, and that their implementation can be adequately monitored by the CNMC, and also (ii) prevents the financial situation of ARMAS from worsening, triggering its disappearance from the market and the loss of its assets.  </w:t>
        <w:br/>
        <w:t xml:space="preserve">For all these reasons, it is considered that, as a whole, the commitments presented proportionately, sufficiently, and adequately resolve the competition risks arising from the concentration.  </w:t>
        <w:br/>
        <w:t xml:space="preserve">2.3. Analyzing the Report and Proposal prepared by the Competition Directorate and in accordance with the aforementioned, this Chamber proposes to subordinate the present concentration C/1608/25 to the fulfillment of the commitments presented by BALEARIA on March 26, 2026, as recorded in said Report and in this resolution.  </w:t>
        <w:br/>
        <w:t xml:space="preserve">2.4. In accordance with the principle of self-assessment, as set out in recital 21 of Council Regulation 139/2004 of January 20, 2004, on the control of concentrations between companies, and the Commission Communication on restrictions directly linked to the execution of a concentration and necessary for that purpose, it is up to the affected companies themselves to determine to what extent their agreements are ancillary to a concentration operation.  </w:t>
        <w:br/>
        <w:t xml:space="preserve">For all of which, having regard to the cited legal provisions and those of general application, the Competition Chamber of the National Commission on Markets and Competition  </w:t>
        <w:br/>
        <w:t xml:space="preserve">3. RESOLVES  </w:t>
        <w:br/>
        <w:t xml:space="preserve">First. In accordance with Article 58.4b) of Law 15/2007, of July 3, on the Defense of Competition, to subordinate the authorization of concentration C/1608/25 BALEARIA/ACTIVOS ARMAS CANARIAS to the fulfillment of the commitments presented by GESTION NAVIERA, S.L. (BALEARIA) and reproduced in the Report and Proposal, and in this resolution.  </w:t>
        <w:br/>
        <w:t xml:space="preserve">Second. In accordance with the provisions of Article 58.6 of the LDC, this resolution shall be executive when any of the situations provided for in that article are met.  </w:t>
        <w:br/>
        <w:t xml:space="preserve">Third. The non-compliance with the provisions of this resolution shall be considered a very serious infringement according to the provisions of Article 62.4. c) of the LDC.  </w:t>
        <w:br/>
        <w:t xml:space="preserve">Fourth. By virtue of the provisions of Articles 41 of the LDC and 71 of the RDC, the monitoring of this resolution is entrusted to the Competition Directorate.  </w:t>
        <w:br/>
        <w:t xml:space="preserve">C/1608/25  </w:t>
        <w:br/>
        <w:t>BALEARIA / ACTIVOS ARMAS CANARIAS</w:t>
      </w:r>
    </w:p>
    <w:p>
      <w:r>
        <w:rPr>
          <w:b/>
        </w:rPr>
        <w:t>[Pages 10–10]</w:t>
      </w:r>
    </w:p>
    <w:p>
      <w:r>
        <w:t xml:space="preserve">C/1608/25  </w:t>
        <w:br/>
        <w:t xml:space="preserve">BALEARIA / ACTIVOS ARMAS CANARIAS  </w:t>
        <w:br/>
        <w:t xml:space="preserve">This resolution shall be communicated to the Competition Directorate and to the Minister of Economy, Trade and Business, as provided in Article 58.5 of the LDC. Furthermore, it shall be notified to the interested parties, informing them that this resolution will not be effective, nor enforceable, nor will it conclude the administrative procedure unless one of the two scenarios provided in letters a) or b) of Article 58.6 of the LDC occurs, and that against it, if the administrative route is exhausted, a contentious-administrative appeal may be filed before the National Court within two months from the notification of the agreements or from the day on which the deadline for issuing them has elapsed, as provided in the aforementioned letters a) or b) of Article 58.6 of the LDC.  </w:t>
        <w:br/>
        <w:t xml:space="preserve">Comisión Nacional de los Mercados y la Competencia 10 de 10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