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https://www.cnmc.es/expedientes/c161125</w:t>
      </w:r>
    </w:p>
    <w:p>
      <w:r>
        <w:t>Pages translated : 2</w:t>
      </w:r>
    </w:p>
    <w:p/>
    <w:p>
      <w:r>
        <w:rPr>
          <w:b/>
        </w:rPr>
        <w:t>[Pages 1–2]</w:t>
      </w:r>
    </w:p>
    <w:p>
      <w:r>
        <w:t>C/1611/25 CFA / GRUPO BROKAIR RESOLUTION FILE CFA / GRUPO BROKAIR (C/1611/25) COUNCIL. COMPETITION CHAMBER President Ms. Cani Fernández Vicién Councilors Ms. Pilar Sánchez Núñez Mr. Pere Soler Campins Ms. María Vidales Picazo Secretary of the Council Mr. Miguel Bordiu Garcia-Ovies In Madrid, on October 22, 2025 The Competition Chamber has analyzed the concentration file processed in accordance with Law 15/2007, of July 3, on the Defense of Competition, regarding the economic concentration operation consisting of the acquisition by CORPORACIÓN FINANCIERA AZUAGA, S.L. (CFA) of exclusive control over BROKAIR AVIATION GROUP, S.L., BROKAIR AVIATION ACADEMY, S.L. and its subsidiaries (GRUPO BROKAIR). In accordance with the report and the proposal submitted by the Directorate of Competition, the Competition Chamber has resolved, applying Article 57.2.a) of the aforementioned Law 15/2007, of July 3, to authorize the aforementioned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companies involved to determine to what extent in a concentration operation their agreements are ancillary to it. All of this in accordance with what is indicated in the aforementioned report proposal from the Directorate of Competition. National Commission of Markets and Competition 1 of 2 C/ Alcalá, 47 – 28014 Madrid - C/ Bolivia, 56 – 08018 Barcelona www.cnmc.es C/1611/25 CFA / GRUPO BROKAIR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