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https://www.cnmc.es/expedientes/c161425</w:t>
      </w:r>
    </w:p>
    <w:p>
      <w:r>
        <w:t>Pages translated : 2</w:t>
      </w:r>
    </w:p>
    <w:p/>
    <w:p>
      <w:r>
        <w:rPr>
          <w:b/>
        </w:rPr>
        <w:t>[Pages 1–2]</w:t>
      </w:r>
    </w:p>
    <w:p>
      <w:r>
        <w:t xml:space="preserve">C/1614/25  </w:t>
        <w:br/>
        <w:t xml:space="preserve">INDRA / HISPASAT / HISDESAT  </w:t>
        <w:br/>
        <w:t xml:space="preserve">RESOLUTION  </w:t>
        <w:br/>
        <w:t xml:space="preserve">FILE INDRA / HISPASAT / HISDESAT  </w:t>
        <w:br/>
        <w:t xml:space="preserve">(C/1614/25)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November 12, 2025</w:t>
      </w:r>
    </w:p>
    <w:p>
      <w:r>
        <w:t>The Competition Chamber has analyzed the merger file processed in accordance with Law 15/2007, of July 3, on the Defense of Competition, regarding the economic concentration operation consisting of the acquisition by Orbitude, S.L.U. (currently named Indra Space, S.L.U.), a wholly-owned subsidiary of Indra Sistemas, S.A. (INDRA), of exclusive control of Hispasat, S.A. (HISPASAT) through the acquisition of 89.68% of the shares that make up its share capital, owned by the company Redeia Sistemas de Telecomunicaciones, S.A.U.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implementation of a concentration and necessary for that purpose (2005/C 56/03), it is up to the affected companies to determine to what extent in a concentration operation their agreements are ancillary to it.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