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https://www.cnmc.es/expedientes/c161525</w:t>
      </w:r>
    </w:p>
    <w:p>
      <w:r>
        <w:t>Pages translated : 1</w:t>
      </w:r>
    </w:p>
    <w:p/>
    <w:p>
      <w:r>
        <w:rPr>
          <w:b/>
        </w:rPr>
        <w:t>[Pages 1–1]</w:t>
      </w:r>
    </w:p>
    <w:p>
      <w:r>
        <w:t xml:space="preserve">C/1615/25  </w:t>
        <w:br/>
        <w:t xml:space="preserve">KILOUTOU / MVA NORTE  </w:t>
        <w:br/>
        <w:t xml:space="preserve">RESOLUTION  </w:t>
        <w:br/>
        <w:t xml:space="preserve">FILE KILOUTOU / MVA NORTE  </w:t>
        <w:br/>
        <w:t xml:space="preserve">(C/1615/25)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December 3, 2025</w:t>
      </w:r>
    </w:p>
    <w:p>
      <w:r>
        <w:t>The Competition Chamber has analyzed the concentration file processed in accordance with Law 15/2007, of July 3, on the Defense of Competition, regarding the economic concentration operation consisting of the acquisition of exclusive control by Kiloutou España S.A. (KILOUTOU) over the Spanish company Maquinaria Venta y Alquiler Norte, S.L. (MVA NORTE) which, in turn, holds 100% of the share capital of its subsidiary Suministros Zelai, S.L. (ZELAI). In accordance with the report and proposal submitted by the Directorate of Competition, the Competition Chamber has resolved, under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