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https://www.cnmc.es/expedientes/c161925</w:t>
      </w:r>
    </w:p>
    <w:p>
      <w:r>
        <w:t>Pages translated : 2</w:t>
      </w:r>
    </w:p>
    <w:p/>
    <w:p>
      <w:r>
        <w:rPr>
          <w:b/>
        </w:rPr>
        <w:t>[Pages 1–2]</w:t>
      </w:r>
    </w:p>
    <w:p>
      <w:r>
        <w:t xml:space="preserve">C/1619/25  </w:t>
        <w:br/>
        <w:t xml:space="preserve">VELTO RENEWABLES/SPVS ESPAÑOLAS  </w:t>
        <w:br/>
        <w:t xml:space="preserve">RESOLUTION  </w:t>
        <w:br/>
        <w:t xml:space="preserve">FILE VELTO RENEWABLES/SPVS ESPAÑOLAS  </w:t>
        <w:br/>
        <w:t xml:space="preserve">(C/1619/25)  </w:t>
        <w:br/>
        <w:t xml:space="preserve">COUNCIL. COMPETITION CHAMBER  </w:t>
        <w:br/>
        <w:t xml:space="preserve">President  </w:t>
        <w:br/>
        <w:t xml:space="preserve">Ms. Cani Fernández Vicién  </w:t>
        <w:br/>
        <w:t xml:space="preserve">Councilors  </w:t>
        <w:br/>
        <w:t xml:space="preserve">Ms. Pilar Sánchez Núñez  </w:t>
        <w:br/>
        <w:t xml:space="preserve">Mr. Rafael Iturriaga Nieva  </w:t>
        <w:br/>
        <w:t xml:space="preserve">Mr. Pere Soler Campins  </w:t>
        <w:br/>
        <w:t xml:space="preserve">Ms. María Vidales Picazo  </w:t>
        <w:br/>
        <w:t xml:space="preserve">Secretary of the Council  </w:t>
        <w:br/>
        <w:t xml:space="preserve">Mr. Miguel Bordiu Garcia-Ovies  </w:t>
        <w:br/>
        <w:t xml:space="preserve">In Barcelona, on November 5, 2025  </w:t>
        <w:br/>
        <w:t xml:space="preserve">The Competition Chamber has analyzed the concentration file processed in accordance with Law 15/2007, of July 3, on the Defense of Competition, regarding the economic concentration operation consisting of the acquisition of exclusive control by Velto Renewables, S.L.U. (VELTO) over the 18 Special Purpose Vehicles (SPVs) owned by the Plenium Partners Group. According to the report and the proposal submitted by the Directorate of Competition, the Competition Chamber has resolved, in application of Article 57.2.a) of the aforementioned Law 15/2007, of July 3, to authorize the said concentration operation, without prejudice to the obligation to communicate the acquisition of interests in the energy sector in accordance with the Ninth Additional Provision of Law 3/2013, of June 4, establishing the National Commission on Markets and Competition.  </w:t>
        <w:br/>
        <w:t xml:space="preserve">Likewise, in accordance with the principle of self-assessment, as set forth in Recital 21 of Council Regulation 139/2004, of January 20, 2004, on the control of concentrations between undertakings and as established in the Commission Communication on restrictions directly linked to the implementation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from the Directorate of Competition.  </w:t>
        <w:br/>
        <w:t xml:space="preserve">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