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https://www.cnmc.es/expedientes/c162025</w:t>
      </w:r>
    </w:p>
    <w:p>
      <w:r>
        <w:t>Pages translated : 2</w:t>
      </w:r>
    </w:p>
    <w:p/>
    <w:p>
      <w:r>
        <w:rPr>
          <w:b/>
        </w:rPr>
        <w:t>[Pages 1–2]</w:t>
      </w:r>
    </w:p>
    <w:p>
      <w:r>
        <w:t xml:space="preserve">C/1620/25  </w:t>
        <w:br/>
        <w:t xml:space="preserve">CERBERUS / EVERZINC  </w:t>
        <w:br/>
        <w:t xml:space="preserve">RESOLUTION  </w:t>
        <w:br/>
        <w:t xml:space="preserve">FILE CERBERUS / EVERZINC  </w:t>
        <w:br/>
        <w:t xml:space="preserve">(C/1620/25)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Barcelona, on November 5, 2025</w:t>
      </w:r>
    </w:p>
    <w:p>
      <w:r>
        <w:t>The Competition Chamber has analyzed the concentration file processed in accordance with Law 15/2007, of July 3, on the Defense of Competition, related to the economic concentration operation consisting of the acquisition by EZ ACQUISITION COMPANY, LLC, a company controlled by CERBERUS ASRS HOLDINGS LLC (together with its controlled entities, CERBERUS) of the exclusive control of EVERZINC INTERNATIONAL, INC. (EVERZINC). In accordance with the report and proposal submitted by the Directorate of Competition, the Competition Chamber has resolved, pursuant to Article 57.2.a) of the aforementioned Law 15/2007, of July 3, to authorize the said concentration operation.</w:t>
      </w:r>
    </w:p>
    <w:p>
      <w:r>
        <w:t>Likewise, in accordance with the principle of self-assessment, as set forth in recital 21 of Regulation 139/2004 of the Council, of January 20, 2004, regarding the control of concentrations between companies and as established in the Commission Communication on restrictions directly linked to the implementation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Directorate of Competition.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