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https://www.cnmc.es/expedientes/c162125</w:t>
      </w:r>
    </w:p>
    <w:p>
      <w:r>
        <w:t>Pages translated : 2</w:t>
      </w:r>
    </w:p>
    <w:p/>
    <w:p>
      <w:r>
        <w:rPr>
          <w:b/>
        </w:rPr>
        <w:t>[Pages 1–2]</w:t>
      </w:r>
    </w:p>
    <w:p>
      <w:r>
        <w:t xml:space="preserve">C/1621/25  </w:t>
        <w:br/>
        <w:t xml:space="preserve">OQUENDO/GLOBAL THESSALIA  </w:t>
        <w:br/>
        <w:t xml:space="preserve">RESOLUTION  </w:t>
        <w:br/>
        <w:t xml:space="preserve">FILE OQUENDO/GLOBAL THESSALIA  </w:t>
        <w:br/>
        <w:t xml:space="preserve">(C/1621/25)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November 5, 2025</w:t>
      </w:r>
    </w:p>
    <w:p>
      <w:r>
        <w:t>The Competition Chamber has analyzed the concentration file processed in accordance with Law 15/2007, of July 3, on the Defense of Competition, regarding the economic concentration operation consisting of the acquisition of exclusive control by Oquendo Capital, SGEIC, S.A. (Oquendo) over Litografía Alavesa, S.L.U. (Litalsa), through the acquisition of 100% of the shares of the company Global Thessalia, S.L. (Global Thessalia).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