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https://www.cnmc.es/expedientes/c162225</w:t>
      </w:r>
    </w:p>
    <w:p>
      <w:r>
        <w:t>Pages translated : 2</w:t>
      </w:r>
    </w:p>
    <w:p/>
    <w:p>
      <w:r>
        <w:rPr>
          <w:b/>
        </w:rPr>
        <w:t>[Pages 1–2]</w:t>
      </w:r>
    </w:p>
    <w:p>
      <w:r>
        <w:t xml:space="preserve">C/1622/25  </w:t>
        <w:br/>
        <w:t xml:space="preserve">GREYSTAR / HANSOT  </w:t>
        <w:br/>
        <w:t xml:space="preserve">RESOLUTION  </w:t>
        <w:br/>
        <w:t xml:space="preserve">FILE GREYSTAR / HANSOT  </w:t>
        <w:br/>
        <w:t xml:space="preserve">(C/1622/25)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Barcelona, on November 5, 2025</w:t>
      </w:r>
    </w:p>
    <w:p>
      <w:r>
        <w:t>The Competition Chamber has analyzed the concentration file processed in accordance with Law 15/2007, of July 3, on the Defense of Competition, regarding the economic concentration operation consisting of the acquisition by Greystar Real Estate Partners, LLC (Greystar) of exclusive control over Hansot Emprende, S.L.U. (Hansot). In accordance with the report and the proposal submitted by the Competition Directorate, the Competition Chamber has resolved, applying Article 57.2.a) of the aforementioned Law 15/2007, of July 3, to authorize the said concentration operation.</w:t>
      </w:r>
    </w:p>
    <w:p>
      <w:r>
        <w:t>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