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https://www.cnmc.es/expedientes/c162325</w:t>
      </w:r>
    </w:p>
    <w:p>
      <w:r>
        <w:t>Pages translated : 2</w:t>
      </w:r>
    </w:p>
    <w:p/>
    <w:p>
      <w:r>
        <w:rPr>
          <w:b/>
        </w:rPr>
        <w:t>[Pages 1–2]</w:t>
      </w:r>
    </w:p>
    <w:p>
      <w:r>
        <w:t xml:space="preserve">C/1623/25  </w:t>
        <w:br/>
        <w:t xml:space="preserve">MFTBC / HINO  </w:t>
        <w:br/>
        <w:t xml:space="preserve">RESOLUTION  </w:t>
        <w:br/>
        <w:t xml:space="preserve">FILE MFTBC / HINO  </w:t>
        <w:br/>
        <w:t xml:space="preserve">(C/1623/25)  </w:t>
        <w:br/>
        <w:t xml:space="preserve">COUNCIL. COMPETITION CHAMBER  </w:t>
        <w:br/>
        <w:t xml:space="preserve">President  </w:t>
        <w:br/>
        <w:t xml:space="preserve">Ms. Cani Fernández Vicién  </w:t>
        <w:br/>
        <w:t xml:space="preserve">Councilors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November 12, 2025  </w:t>
        <w:br/>
        <w:t xml:space="preserve">The Competition Chamber has analyzed the merger file processed in accordance with Law 15/2007, of July 3, on the Defense of Competition, concerning the economic concentration operation consisting of the merger of Mitsubishi Fuso Truck and Bus Corporation (MFTBC) with Hino Motors Ltd. (HINO) into a joint holding company (HOLDCO). In accordance with the report and proposal submitted by the Competition Directorate, the Competition Chamber has resolved, under the application of Article 57.2.a) of the aforementioned Law 15/2007, of July 3, to authorize the said concentration operation. Likewise, in accordance with the principle of self-assessment, as set forth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2  </w:t>
        <w:br/>
        <w:t xml:space="preserve">C/ Alcalá, 47 – 28014 Madrid - C/ Bolivia, 56 – 08018 Barcelona  </w:t>
        <w:br/>
        <w:t>www.cnmc.es</w:t>
      </w:r>
    </w:p>
    <w:p>
      <w:r>
        <w:t xml:space="preserve">C/1623/25  </w:t>
        <w:br/>
        <w:t xml:space="preserve">MFTBC / HINO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