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https://www.cnmc.es/expedientes/c162825</w:t>
      </w:r>
    </w:p>
    <w:p>
      <w:r>
        <w:t>Pages translated : 2</w:t>
      </w:r>
    </w:p>
    <w:p/>
    <w:p>
      <w:r>
        <w:rPr>
          <w:b/>
        </w:rPr>
        <w:t>[Pages 1–2]</w:t>
      </w:r>
    </w:p>
    <w:p>
      <w:r>
        <w:t xml:space="preserve">C/1628/25  </w:t>
        <w:br/>
        <w:t xml:space="preserve">ALCON / STAAR  </w:t>
        <w:br/>
        <w:t xml:space="preserve">RESOLUTION  </w:t>
        <w:br/>
        <w:t xml:space="preserve">FILE ALCON / STAAR  </w:t>
        <w:br/>
        <w:t xml:space="preserve">(C/1628/25)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November 19, 2025</w:t>
      </w:r>
    </w:p>
    <w:p>
      <w:r>
        <w:t>The Competition Chamber has analyzed the concentration file processed in accordance with Law 15/2007, of July 3, on the Defense of Competition, regarding the economic concentration operation consisting of the acquisition of exclusive control of the company STAAR SURGICAL COMPANY (STAAR) by ALCON Inc (ALCON). In accordance with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In this operation, there are no ancillary restriction clauses, but rather agreements for extensions of technical and maintenance services, as well as a general confidentiality clause.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