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https://www.cnmc.es/expedientes/c162925</w:t>
      </w:r>
    </w:p>
    <w:p>
      <w:r>
        <w:t>Pages translated : 2</w:t>
      </w:r>
    </w:p>
    <w:p/>
    <w:p>
      <w:r>
        <w:rPr>
          <w:b/>
        </w:rPr>
        <w:t>[Pages 1–2]</w:t>
      </w:r>
    </w:p>
    <w:p>
      <w:r>
        <w:t xml:space="preserve">C/1629/25  </w:t>
        <w:br/>
        <w:t xml:space="preserve">MSOF / POTTERS  </w:t>
        <w:br/>
        <w:t xml:space="preserve">RESOLUTION  </w:t>
        <w:br/>
        <w:t xml:space="preserve">FILE MSOF / POTTERS  </w:t>
        <w:br/>
        <w:t xml:space="preserve">(C/1629/25)  </w:t>
        <w:br/>
        <w:t>COUNCIL. COMPETITION CHAMBER</w:t>
      </w:r>
    </w:p>
    <w:p>
      <w:r>
        <w:t xml:space="preserve">President  </w:t>
        <w:br/>
        <w:t>Ms. Cani Fernández Vicién</w:t>
      </w:r>
    </w:p>
    <w:p>
      <w:r>
        <w:t xml:space="preserve">Councilors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November 25, 2025</w:t>
      </w:r>
    </w:p>
    <w:p>
      <w:r>
        <w:t>The Competition Chamber has analyzed the merger file processed in accordance with Law 15/2007, of July 3, on the Defense of Competition, concerning the economic concentration operation consisting of the acquisition by MSOF BEACON, LLC (MSOF), a company controlled by MACQUARIE GROUP LIMITED, of exclusive control of POTTERS INTERMEDIATE HOLDINGS, L.P., TRF-POTTERS-BLOCKER, LLC, and POTTERS INTERMEDIATE HOLDINGS GP, LLC and each of their subsidiaries (POTTERS). In accordance with the report and proposal submitted by the Directorate of Competition, the Competition Chamber has resolved, applying Article 57.2.a) of the aforementioned Law 15/2007, of July 3, to authorize the aforementioned concentration operation.</w:t>
      </w:r>
    </w:p>
    <w:p>
      <w:r>
        <w:t>Likewise, in accordance with the principle of self-assessment, as set forth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from the Directorate of Competition.</w:t>
      </w:r>
    </w:p>
    <w:p>
      <w:r>
        <w:t xml:space="preserve">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