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https://www.cnmc.es/expedientes/c163025</w:t>
      </w:r>
    </w:p>
    <w:p>
      <w:r>
        <w:t>Pages translated : 1</w:t>
      </w:r>
    </w:p>
    <w:p/>
    <w:p>
      <w:r>
        <w:rPr>
          <w:b/>
        </w:rPr>
        <w:t>[Pages 1–1]</w:t>
      </w:r>
    </w:p>
    <w:p>
      <w:r>
        <w:t>C/1630/25 CFA / GRUPO ATS RESOLUTION FILE CFA / GRUPO ATS (C/1630/25) COUNCIL. COMPETITION CHAMBER President Ms. Cani Fernández Vicién Councilors Ms. Pilar Sánchez Núñez Mr. Rafael Iturriaga Nieva Mr. Pere Soler Campins Ms. María Vidales Picazo Secretary of the Council Mr. Miguel Bordiu Garcia-Ovies In Madrid, on December 17, 2025 The Competition Chamber has analyzed the merger file processed in accordance with Law 15/2007, of July 3, on the Defense of Competition, regarding the economic concentration operation consisting of the acquisition of exclusive control over ATS AVIATION, S.L., FAST TEAM AVIATION, S.L., ATS MÁLAGA TEAMS, S.L., and SKY TECH MAINTENANCE SERVICES, S.L. (GRUPO ATS) by CORPORACIÓN FINANCIERA AZUAGA, S.L. (CFA). According to the report and proposal submitted by the Directorate of Competition, the Competition Chamber has resolved, in application of Article 57.2.a) of the aforementioned Law 15/2007, of July 3, to authorize the aforementioned concentration operation. This Resolution shall be communicated to the Directorate of Competition of the National Commission on Markets and Competition and notified to the interested party, informing them that it concludes the administrative procedure and that a contentious-administrative appeal can be filed against it before the National Court, within two months from the day following its notification. National Commission on Markets and Competition 1 of 1 C/ Alcalá, 47 – 28014 Madrid - C/ Bolivia, 56 – 08018 Barcelona 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