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https://www.cnmc.es/expedientes/c163125</w:t>
      </w:r>
    </w:p>
    <w:p>
      <w:r>
        <w:t>Pages translated : 2</w:t>
      </w:r>
    </w:p>
    <w:p/>
    <w:p>
      <w:r>
        <w:rPr>
          <w:b/>
        </w:rPr>
        <w:t>[Pages 1–2]</w:t>
      </w:r>
    </w:p>
    <w:p>
      <w:r>
        <w:t xml:space="preserve">C/1631/25  </w:t>
        <w:br/>
        <w:t xml:space="preserve">EUROMASTER / NEX TYRES  </w:t>
        <w:br/>
        <w:t xml:space="preserve">RESOLUTION  </w:t>
        <w:br/>
        <w:t xml:space="preserve">FILE EUROMASTER / NEX TYRES  </w:t>
        <w:br/>
        <w:t xml:space="preserve">(C/1631/25)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December 3, 2025</w:t>
      </w:r>
    </w:p>
    <w:p>
      <w:r>
        <w:t>The Competition Chamber has analyzed the concentration file processed in accordance with Law 15/2007, of July 3, on the Defense of Competition, regarding the economic concentration operation consisting of the exclusive control by the company EUROMASTER AUTOMOCIÓN Y SERVICIOS, S.A.U (EUROMASTER), a subsidiary of the MICHELIN group, of the company NEX TYRES, S.L., (NEX TYRES), a company participated by the company RODI METRO, S.L. (RODI).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In this operation, there are no types of ancillary restriction clauses between the Parties. All of this is in accordance with what is indicated in the aforementioned report proposal of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