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https://www.cnmc.es/expedientes/c163325</w:t>
      </w:r>
    </w:p>
    <w:p>
      <w:r>
        <w:t>Pages translated : 2</w:t>
      </w:r>
    </w:p>
    <w:p/>
    <w:p>
      <w:r>
        <w:rPr>
          <w:b/>
        </w:rPr>
        <w:t>[Pages 1–2]</w:t>
      </w:r>
    </w:p>
    <w:p>
      <w:r>
        <w:t xml:space="preserve">C/1633/25  </w:t>
        <w:br/>
        <w:t xml:space="preserve">TELEFONICA / BLUEVIA ASSETS  </w:t>
        <w:br/>
        <w:t xml:space="preserve">RESOLUTION  </w:t>
        <w:br/>
        <w:t xml:space="preserve">FILE TELEFÓNICA / BLUEVIA ASSETS  </w:t>
        <w:br/>
        <w:t xml:space="preserve">(C/1633/25)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December 17, 2025</w:t>
      </w:r>
    </w:p>
    <w:p>
      <w:r>
        <w:t>The Competition Chamber has analyzed the concentration file processed in accordance with Law 15/2007, of July 3, on the Defense of Competition, regarding the economic concentration operation consisting of the acquisition by Telefónica de España, S.A.U. (TELEFÓNICA) of exclusive control of a set of assets of the company Bluevía Fibra, S.L. (BLUEVIA ASSETS), of which it already previously had joint control. 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C/1633/25  </w:t>
        <w:br/>
        <w:t xml:space="preserve">TELEFONICA / BLUEVIA ASSETS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