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https://www.cnmc.es/expedientes/c163625</w:t>
      </w:r>
    </w:p>
    <w:p>
      <w:r>
        <w:t>Pages translated : 2</w:t>
      </w:r>
    </w:p>
    <w:p/>
    <w:p>
      <w:r>
        <w:rPr>
          <w:b/>
        </w:rPr>
        <w:t>[Pages 1–2]</w:t>
      </w:r>
    </w:p>
    <w:p>
      <w:r>
        <w:t xml:space="preserve">C/1636/25  </w:t>
        <w:br/>
        <w:t xml:space="preserve">ABAI / ATENTO EMEA  </w:t>
        <w:br/>
        <w:t xml:space="preserve">RESOLUTION  </w:t>
        <w:br/>
        <w:t xml:space="preserve">FILE ABAI / ATENTO EMEA  </w:t>
        <w:br/>
        <w:t xml:space="preserve">(C/1636/25)  </w:t>
        <w:br/>
        <w:t>COUNCIL. COMPETITION CHAMBER</w:t>
      </w:r>
    </w:p>
    <w:p>
      <w:r>
        <w:t xml:space="preserve">President  </w:t>
        <w:br/>
        <w:t>Ms. Cani Fernández Vicién</w:t>
      </w:r>
    </w:p>
    <w:p>
      <w:r>
        <w:t xml:space="preserve">Councilors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December 17, 2025</w:t>
      </w:r>
    </w:p>
    <w:p>
      <w:r>
        <w:t>The Competition Chamber has analyzed the concentration file processed in accordance with Law 15/2007, of July 3, on the Defense of Competition, regarding the economic concentration operation consisting of the acquisition by ABAI GROUP DIGITAL BUSINESS PROCESS, S.L. (ABAI) of the exclusive control of ATENTO TELESERVICIOS ESPAÑA, S.A.U., along with its subsidiaries, and of ATENTO ESTRATEGIAS TRANSFORMACIÓN, S.L.U. (jointly ATENTO EMEA). In accordance with the report and proposal submitted by the Competition Directorate, the Competition Chamber has resolved, under the application of Article 57.2.a) of the aforementioned Law 15/2007, of July 3, to authorize the aforementioned concentration operation.</w:t>
      </w:r>
    </w:p>
    <w:p>
      <w:r>
        <w:t>Likewise, in accordance with the principle of self-assessment, as stated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from the Competition Directorate.</w:t>
      </w:r>
    </w:p>
    <w:p>
      <w: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  </w:t>
        <w:br/>
        <w:t>National Commission on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