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https://www.cnmc.es/expedientes/c163925</w:t>
      </w:r>
    </w:p>
    <w:p>
      <w:r>
        <w:t>Pages translated : 4</w:t>
      </w:r>
    </w:p>
    <w:p/>
    <w:p>
      <w:r>
        <w:rPr>
          <w:b/>
        </w:rPr>
        <w:t>[Pages 1–3]</w:t>
      </w:r>
    </w:p>
    <w:p>
      <w:r>
        <w:t xml:space="preserve">C/1639/25  </w:t>
        <w:br/>
        <w:t xml:space="preserve">DFDS / ACTIVOS ARMAS ESTRECHO  </w:t>
        <w:br/>
        <w:t xml:space="preserve">BRIEF NOTE  </w:t>
        <w:br/>
        <w:t>FILE C/1639/25 DFDS / ACTIVOS ARMAS ESTRECHO</w:t>
      </w:r>
    </w:p>
    <w:p>
      <w:r>
        <w:t xml:space="preserve">1. BACKGROUND  </w:t>
        <w:br/>
        <w:t>On December 15, the notification of the concentration consisting of the acquisition by DFDS IBERIA, S.L.U (DFDS) of certain assets of Grupo ARMAS – TRASMEDITERRÁNEA (ARMAS) necessary for the operation of the Algeciras-Tanger Med and Algeciras-Ceuta routes was received by the National Commission on Markets and Competition (CNMC).</w:t>
      </w:r>
    </w:p>
    <w:p>
      <w:r>
        <w:t>In addition to this operation, this Commission is analyzing three other asset acquisition operations from the GRUPO ARMAS TRANSMEDITERRANEA, active in the maritime transport markets of cargo and passengers between the south of the Iberian Peninsula and the Canary Islands and North Africa, by BALEARIA1. The three groups are competitors on a large number of maritime routes.</w:t>
      </w:r>
    </w:p>
    <w:p>
      <w:r>
        <w:t>According to Article 57.1 of Law 15/2007, of July 3, on the Defense of Competition (LDC), the Competition Directorate opened a file and prepared the corresponding report on the operation along with a resolution proposal. The Council of the CNMC adopted on January 20, 2026, a resolution in the first phase, in which it agrees to initiate the second phase of the procedure in accordance with Article 57.2 c) of the LDC, considering that the notified concentration operation may hinder the maintenance of effective competition in the regular maritime transport market, both of roll-on/roll-off cargo and passengers, in the South Peninsula – Strait and South Peninsula-Ceuta areas.</w:t>
      </w:r>
    </w:p>
    <w:p>
      <w:r>
        <w:t>2. THE PARTIES</w:t>
      </w:r>
    </w:p>
    <w:p>
      <w:r>
        <w:t xml:space="preserve">2.1. DFDS  </w:t>
        <w:br/>
        <w:t>DFDS originated from the acquisition by DFDS A/S of exclusive control over the business of FRS Iberia / Maroc, which was completed in January 2024. DFDS A/S operates a maritime transport network across Europe and provides ferry2 services, as well as other transport and logistics solutions.</w:t>
      </w:r>
    </w:p>
    <w:p>
      <w:r>
        <w:t>In Spain, DFDS is present in the market of regular maritime transport of passengers and roll-on/roll-off cargo, with the routes in the geographical area South Peninsula – Strait and South Peninsula-Ceuta being relevant in the case of this operation.</w:t>
      </w:r>
    </w:p>
    <w:p>
      <w:r>
        <w:t xml:space="preserve">1 C/1605/25 GRUPO BALEÀRIA / ACTIVOS ARMAS ALGECIRAS-TANGER, C/1607/25 BALEARIA / ACTIVOS ARMAS ALBORAN and C/1608/25 BALEARIA / ACTIVOS ARMAS CANARIAS.  </w:t>
        <w:br/>
        <w:t>2 Ferry-type vessels are primarily designed for the transport of passengers and vehicles (although they can also transport cargo).</w:t>
      </w:r>
    </w:p>
    <w:p>
      <w:r>
        <w:t xml:space="preserve">National Commission on Markets and Competition 1 of 4  </w:t>
        <w:br/>
        <w:t xml:space="preserve">C/ Alcalá, 47 – 28014 Madrid - C/ Bolivia, 56 – 08018 Barcelona  </w:t>
        <w:br/>
        <w:t xml:space="preserve">www.cnmc.es  </w:t>
        <w:br/>
        <w:t>OFFICIAL USE (SECRET)</w:t>
      </w:r>
    </w:p>
    <w:p>
      <w:r>
        <w:t xml:space="preserve">C/1639/25  </w:t>
        <w:br/>
        <w:t>DFDS / ACTIVOS ARMAS ESTRECHO</w:t>
      </w:r>
    </w:p>
    <w:p>
      <w:r>
        <w:t xml:space="preserve">2.2. ARMAS  </w:t>
        <w:br/>
        <w:t>ARMAS focuses its activities on the regular maritime transport of passengers and goods in three geographical areas with routes connecting (i) the South of the Peninsula with North Africa (Ceuta and Melilla, Morocco, and Algeria); (ii) the Peninsula with the Canary Islands and (iii) the different islands of the Canary archipelago among themselves (Canary inter-island traffic).</w:t>
      </w:r>
    </w:p>
    <w:p>
      <w:r>
        <w:t>In Spain, ARMAS is present in the market of regular maritime transport of passengers and roll-on/roll-off cargo, with the routes in the geographical area South Peninsula – Strait and South Peninsula-Ceuta being relevant in the case of this operation.</w:t>
      </w:r>
    </w:p>
    <w:p>
      <w:r>
        <w:t xml:space="preserve">3. RELEVANT MARKETS  </w:t>
        <w:br/>
        <w:t>The economic sector affected in the present operation is the provision of regular maritime transport services of roll-on/roll-off cargo and passengers in the South Peninsula – Strait market (currently including the Algeciras – Tanger Med, Algeciras – Ceuta, and Tarifa – Tanger Ville routes and vice versa), as well as in the South Peninsula – Ceuta area, which comprises only the Algeciras – Ceuta route and its reverse journey.</w:t>
      </w:r>
    </w:p>
    <w:p>
      <w:r>
        <w:t xml:space="preserve">Regular maritime transport of roll-on/roll-off cargo  </w:t>
        <w:br/>
        <w:t>In precedents from the sector, both community3 and national4, two differentiated segments have been distinguished within a broad maritime cargo transport market: full or bulk cargo transport, and general or fractional cargo transport (usually provided on regular lines).</w:t>
      </w:r>
    </w:p>
    <w:p>
      <w:r>
        <w:t>Furthermore, within the general or fractional cargo market, precedents have distinguished between containerized line transport and conventional line transport, also referred to as roll-on/roll-off cargo transport (transport without containers, using trucks or platforms that travel in the hold of the vessel).</w:t>
      </w:r>
    </w:p>
    <w:p>
      <w:r>
        <w:t>Both DFDS and ARMAS are present in this market, with the relevant geographical markets in this operation, following the analysis in sector precedents, being South Peninsula – Strait and South Peninsula-Ceuta (with the only route Algeciras-Ceuta affected in this operation). The Algeciras – Tanger Med route will also be analyzed.</w:t>
      </w:r>
    </w:p>
    <w:p>
      <w:r>
        <w:t xml:space="preserve">3 In some cases such as: M.2838 - P &amp; O Stena Line (Holding) Limited; M.5756 DFDS A/S|DFDS Tor Line AB|Norfolk Holdings B.V.|Vesterhavet Holding A/S; M.9673 Columbia Threadneedle Investments|B.A.I. Bretagne Angleterre Irlande S.A.|MEIF II Channel Islands Transport Holdings Limited, among others.  </w:t>
        <w:br/>
        <w:t>4 In some precedents such as: C/0922/18 NAVIERA ARMAS – TRASMEDITERRÁNEA; C/1203/21 GRIMALDI / ACTIVOS GRUPO ARMAS, among others.</w:t>
      </w:r>
    </w:p>
    <w:p>
      <w:r>
        <w:t xml:space="preserve">National Commission on Markets and Competition 2 of 4  </w:t>
        <w:br/>
        <w:t xml:space="preserve">C/ Alcalá, 47 – 28014 Madrid - C/ Bolivia, 56 – 08018 Barcelona  </w:t>
        <w:br/>
        <w:t xml:space="preserve">www.cnmc.es  </w:t>
        <w:br/>
        <w:t>OFFICIAL USE (SECRET)</w:t>
      </w:r>
    </w:p>
    <w:p>
      <w:r>
        <w:t xml:space="preserve">C/1639/25  </w:t>
        <w:br/>
        <w:t>DFDS / ACTIVOS ARMAS ESTRECHO</w:t>
      </w:r>
    </w:p>
    <w:p>
      <w:r>
        <w:t xml:space="preserve">Regular maritime passenger transport  </w:t>
        <w:br/>
        <w:t>In precedents from the sector, both community5 and national6, it has been noted that regular passenger transport activities (including their vehicles as luggage) are usually carried out on ferry-type vessels, primarily designed for the transport of passengers and vehicles (although they can also transport cargo), on Ro-Pax vessels, and on high-speed or fast ferry-type vessels (catamarans).</w:t>
      </w:r>
    </w:p>
    <w:p>
      <w:r>
        <w:t>Both DFDS and ARMAS are present in this market, in the same geographical areas as in the case of cargo transport.</w:t>
      </w:r>
    </w:p>
    <w:p>
      <w:r>
        <w:t xml:space="preserve">4. POTENTIAL EFFECTS OF THE OPERATION  </w:t>
        <w:br/>
        <w:t>The analysis conducted in the first phase by the CNMC does not allow for the dismissal of the existence of potential risks to competition arising from the notified concentration operation in the regular maritime transport markets of roll-on/roll-off cargo and passengers in the South Peninsula–Strait and South Peninsula-Ceuta areas.</w:t>
      </w:r>
    </w:p>
    <w:p>
      <w:r>
        <w:t>Thus, on October 8, the operation C/1605/25 GRUPO BALEÀRIA / ACTIVOS ARMAS ALGECIRAS-TANGER was notified, which would involve the acquisition of certain assets by BALEARIA, intended for the operation of the route to Tanger Med, thus affecting part of the same geographical area as the present operation.</w:t>
      </w:r>
    </w:p>
    <w:p>
      <w:r>
        <w:t>Therefore, the conjunction of both operations would reduce the number of regular maritime transport operators, of passengers and roll-on/roll-off cargo, in the South Peninsula–Strait market and on the Algeciras-Tanger MED route from 4 to 3.</w:t>
      </w:r>
    </w:p>
    <w:p>
      <w:r>
        <w:t>On the Algeciras-Ceuta route, the presented operation will, by itself, result in a reduction from three to two operators, with the resulting entity facing only the competition from BALEARIA, which operates under the Public Service Obligation (OSP). Thus, while previously there were two operators that did not provide the service under OSP for this route, DFDS and ARMAS, after the operation only DFDS would provide said service in this modality.</w:t>
      </w:r>
    </w:p>
    <w:p>
      <w:r>
        <w:t>The risks arising from the operation on competition for the market will also be studied in greater detail, as ARMAS will disappear as a potential bidder to operate the route to Ceuta under OSP.</w:t>
      </w:r>
    </w:p>
    <w:p>
      <w:r>
        <w:t xml:space="preserve">Consequently, the proposed operation represents a significant modification of the market structure that does not allow for the dismissal of the risk of unilateral horizontal effects or coordinated effects, especially in the case of the route to Ceuta. This makes a more detailed study necessary, considering also that DFDS and BALEARIA could operate under different  </w:t>
        <w:br/>
        <w:t xml:space="preserve">5 In some cases such as: M.2838 - P &amp; O Stena Line (Holding) Limited; M.5756 DFDS A/S|DFDS Tor Line AB|Norfolk Holdings B.V.|Vesterhavet Holding A/S; M.9673 Columbia Threadneedle Investments|B.A.I. Bretagne Angleterre Irlande S.A.|MEIF II Channel Islands Transport Holdings Limited, among others.  </w:t>
        <w:br/>
        <w:t>6 In some precedents such as: C/0922/18 NAVIERA ARMAS – TRASMEDITERRÁNEA; C/1203/21 GRIMALDI / ACTIVOS GRUPO ARMAS, among others.</w:t>
      </w:r>
    </w:p>
    <w:p>
      <w:r>
        <w:t xml:space="preserve">National Commission on Markets and Competition 3 of 4  </w:t>
        <w:br/>
        <w:t xml:space="preserve">C/ Alcalá, 47 – 28014 Madrid - C/ Bolivia, 56 – 08018 Barcelona  </w:t>
        <w:br/>
        <w:t xml:space="preserve">www.cnmc.es  </w:t>
        <w:br/>
        <w:t>OFFICIAL USE (SECRET)</w:t>
      </w:r>
    </w:p>
    <w:p>
      <w:r>
        <w:rPr>
          <w:b/>
        </w:rPr>
        <w:t>[Pages 4–4]</w:t>
      </w:r>
    </w:p>
    <w:p>
      <w:r>
        <w:t xml:space="preserve">C/1639/25  </w:t>
        <w:br/>
        <w:t>DFDS / ACTIVOS ARMAS ESTRECHO</w:t>
      </w:r>
    </w:p>
    <w:p>
      <w:r>
        <w:t>conditions, as one of them, BALEARIA, has been providing the service under a Public Service Obligation (OSP).</w:t>
      </w:r>
    </w:p>
    <w:p>
      <w:r>
        <w:t>Thus, the CNMC has resolved that the proposed operation cannot be authorized in the first phase and requires a deeper analysis of the identified issues and their possible solutions.</w:t>
      </w:r>
    </w:p>
    <w:p>
      <w:r>
        <w:t>5. CONCLUSION</w:t>
      </w:r>
    </w:p>
    <w:p>
      <w:r>
        <w:t>This brief note is issued in application of Article 58 of the LDC and is made public to inform individuals or legal entities that may be affected by the concentration operation and the Council of Consumers and Users, so that they can submit their allegations within 10 days from the issuance of the aforementioned brief note.</w:t>
      </w:r>
    </w:p>
    <w:p>
      <w:r>
        <w:t>In accordance with the provisions of Article 66.2 of the Competition Defense Regulation, approved by Royal Decree 261/2008, of February 22 (RDC), individuals or legal entities that may be affected by the concentration operation have a period of ten days to request, with justification, in accordance with the criteria established in Article 4 of Law 39/2015, of October 1, on Common Administrative Procedure of Public Administrations, the status of interested party in this concentration control procedure.</w:t>
      </w:r>
    </w:p>
    <w:p>
      <w:r>
        <w:t>On the other hand, it is reminded that, according to Article 39 of the LDC, the CNMC may in the future request any necessary information from any individual or legal entity, in order to determine whether the notified operation hinders the maintenance of effective competition in the affected markets, without such collaboration, either at its own request or at the request of the CNMC, implying the status of interested party in the procedure.</w:t>
      </w:r>
    </w:p>
    <w:p>
      <w:r>
        <w:t>In short, within the framework of the second phase of the reference file, in accordance with Article 10 of the LDC, the CNMC will thoroughly assess the notified economic concentration, considering the possible hindrance to the maintenance of effective competition in the markets concerned.</w:t>
      </w:r>
    </w:p>
    <w:p>
      <w:r>
        <w:t xml:space="preserve">Comisión Nacional de los Mercados y la Competencia  </w:t>
        <w:br/>
        <w:t xml:space="preserve">4 of 4  </w:t>
        <w:br/>
        <w:t xml:space="preserve">C/ Alcalá, 47 – 28014 Madrid - C/ Bolivia, 56 – 08018 Barcelona  </w:t>
        <w:br/>
        <w:t xml:space="preserve">www.cnmc.es  </w:t>
        <w:br/>
        <w:t>OFFICIAL USE (SECRET)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